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lang w:bidi="ar"/>
        </w:rPr>
        <w:t xml:space="preserve">果园高中（项里高中）校园智能化网络工程（服务器、电脑、LED屏等）</w:t>
      </w:r>
      <w:r>
        <w:rPr>
          <w:rFonts w:hint="eastAsia" w:ascii="Times New Roman" w:hAnsi="Times New Roman" w:cs="宋体"/>
          <w:b/>
          <w:sz w:val="30"/>
          <w:szCs w:val="30"/>
          <w:lang w:bidi="ar"/>
        </w:rPr>
        <w:t xml:space="preserve">  </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JSZC-321300-JZCG-G2026-0021</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91"/>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752" w:type="dxa"/>
            <w:vAlign w:val="center"/>
            <w:textDirection w:val="lrTb"/>
            <w:noWrap w:val="false"/>
          </w:tcPr>
          <w:p>
            <w:pPr>
              <w:jc w:val="left"/>
              <w:spacing w:line="500" w:lineRule="exact"/>
              <w:rPr>
                <w:rFonts w:ascii="Times New Roman" w:hAnsi="Times New Roman"/>
                <w:b/>
                <w:bCs/>
                <w:sz w:val="32"/>
                <w:szCs w:val="24"/>
              </w:rPr>
            </w:pPr>
            <w:r>
              <w:rPr>
                <w:rFonts w:hint="eastAsia" w:ascii="Times New Roman" w:hAnsi="Times New Roman"/>
                <w:b/>
                <w:bCs/>
                <w:sz w:val="32"/>
                <w:szCs w:val="24"/>
              </w:rPr>
              <w:t xml:space="preserve">宿迁市教育局</w:t>
            </w:r>
            <w:r/>
          </w:p>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宿迁市楚润数据集团有限公司</w:t>
            </w:r>
            <w:r/>
          </w:p>
        </w:tc>
      </w:tr>
      <w:tr>
        <w:trPr>
          <w:trHeight w:val="617"/>
        </w:trPr>
        <w:tc>
          <w:tcPr>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年5月15日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1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w:instrText>
      </w:r>
      <w: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7"/>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"_Toc9624" </w:instrText>
      </w:r>
      <w: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7"/>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"_Toc17961" </w:instrText>
      </w:r>
      <w: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7"/>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"_Toc14442" </w:instrText>
      </w:r>
      <w: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7"/>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"_Toc19774" </w:instrText>
      </w:r>
      <w: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77</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17"/>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"_Toc21933" </w:instrText>
      </w:r>
      <w: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77</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781"/>
        <w:jc w:val="center"/>
        <w:spacing w:before="200"/>
        <w:rPr>
          <w:rFonts w:eastAsia="黑体"/>
          <w:sz w:val="44"/>
        </w:rPr>
      </w:pPr>
      <w:r/>
      <w:bookmarkStart w:id="4" w:name="_Toc30943"/>
      <w:r/>
      <w:bookmarkStart w:id="5" w:name="_Toc12738"/>
      <w:r/>
      <w:bookmarkStart w:id="6" w:name="_Toc25722"/>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宿迁市教育局、宿迁市楚润数据集团有限公司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果园高中（项里高中）校园智能化网络工程（服务器、电脑、LED屏等）</w:t>
      </w:r>
      <w:r>
        <w:rPr>
          <w:rFonts w:hint="eastAsia" w:ascii="宋体" w:hAnsi="宋体"/>
          <w:sz w:val="24"/>
          <w:szCs w:val="24"/>
        </w:rPr>
        <w:t xml:space="preserve">(</w:t>
      </w:r>
      <w:r>
        <w:rPr>
          <w:rFonts w:hint="eastAsia" w:ascii="宋体" w:hAnsi="宋体"/>
          <w:sz w:val="24"/>
          <w:szCs w:val="24"/>
          <w:u w:val="single"/>
        </w:rPr>
        <w:t xml:space="preserve">JSZC-321300-JZCG-G2026-0021</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果园高中（项里高中）校园智能化网络工程（服务器、电脑、LED屏等）</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highlight w:val="none"/>
          <w:u w:val="single"/>
          <w:lang w:val="en-US" w:eastAsia="zh-CN"/>
        </w:rPr>
        <w:t xml:space="preserve">8</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82"/>
        <w:ind w:firstLine="643"/>
        <w:spacing w:before="0" w:after="0" w:line="480" w:lineRule="exact"/>
        <w:rPr>
          <w:rFonts w:eastAsia="宋体" w:cs="Arial"/>
          <w:bCs/>
          <w:szCs w:val="22"/>
        </w:rPr>
      </w:pPr>
      <w:r/>
      <w:bookmarkStart w:id="7" w:name="_Toc35393790"/>
      <w:r/>
      <w:bookmarkStart w:id="8" w:name="_Toc2584"/>
      <w:r/>
      <w:bookmarkStart w:id="9" w:name="_Toc28359002"/>
      <w:r/>
      <w:bookmarkStart w:id="10" w:name="_Toc28359079"/>
      <w:r/>
      <w:bookmarkStart w:id="11" w:name="_Toc38985263"/>
      <w:r/>
      <w:bookmarkStart w:id="12" w:name="_Toc35393621"/>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1.项目编号：JSZC-321300-JZCG-G2026-0021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宋体" w:hAnsi="宋体"/>
          <w:sz w:val="24"/>
          <w:szCs w:val="24"/>
          <w:u w:val="single"/>
        </w:rPr>
        <w:t xml:space="preserve">果园高中（项里高中）校园智能化网络工程（服务器、电脑、LED屏等）</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ascii="Times New Roman" w:hAnsi="Times New Roman" w:cs="仿宋"/>
          <w:sz w:val="24"/>
          <w:szCs w:val="24"/>
        </w:rPr>
        <w:t xml:space="preserve">526</w:t>
      </w:r>
      <w:r>
        <w:rPr>
          <w:rFonts w:hint="eastAsia" w:ascii="Times New Roman" w:hAnsi="Times New Roman" w:cs="仿宋"/>
          <w:sz w:val="24"/>
          <w:szCs w:val="24"/>
        </w:rPr>
        <w:t xml:space="preserve">.</w:t>
      </w:r>
      <w:r>
        <w:rPr>
          <w:rFonts w:ascii="Times New Roman" w:hAnsi="Times New Roman" w:cs="仿宋"/>
          <w:sz w:val="24"/>
          <w:szCs w:val="24"/>
        </w:rPr>
        <w:t xml:space="preserve">491</w:t>
      </w:r>
      <w:r>
        <w:rPr>
          <w:rFonts w:hint="eastAsia" w:ascii="Times New Roman" w:hAnsi="Times New Roman" w:cs="仿宋"/>
          <w:sz w:val="24"/>
          <w:szCs w:val="24"/>
        </w:rPr>
        <w:t xml:space="preserve">万元（采购包1：178.13万元；采购包2：</w:t>
      </w:r>
      <w:r>
        <w:rPr>
          <w:rFonts w:ascii="Times New Roman" w:hAnsi="Times New Roman" w:cs="仿宋"/>
          <w:sz w:val="24"/>
          <w:szCs w:val="24"/>
        </w:rPr>
        <w:t xml:space="preserve">34</w:t>
      </w:r>
      <w:r>
        <w:rPr>
          <w:rFonts w:hint="eastAsia" w:ascii="Times New Roman" w:hAnsi="Times New Roman" w:cs="仿宋"/>
          <w:sz w:val="24"/>
          <w:szCs w:val="24"/>
        </w:rPr>
        <w:t xml:space="preserve">8.361万元）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ascii="Times New Roman" w:hAnsi="Times New Roman" w:cs="仿宋"/>
          <w:sz w:val="24"/>
          <w:szCs w:val="24"/>
        </w:rPr>
        <w:t xml:space="preserve">526</w:t>
      </w:r>
      <w:r>
        <w:rPr>
          <w:rFonts w:hint="eastAsia" w:ascii="Times New Roman" w:hAnsi="Times New Roman" w:cs="仿宋"/>
          <w:sz w:val="24"/>
          <w:szCs w:val="24"/>
        </w:rPr>
        <w:t xml:space="preserve">.</w:t>
      </w:r>
      <w:r>
        <w:rPr>
          <w:rFonts w:ascii="Times New Roman" w:hAnsi="Times New Roman" w:cs="仿宋"/>
          <w:sz w:val="24"/>
          <w:szCs w:val="24"/>
        </w:rPr>
        <w:t xml:space="preserve">491</w:t>
      </w:r>
      <w:r>
        <w:rPr>
          <w:rFonts w:hint="eastAsia" w:ascii="Times New Roman" w:hAnsi="Times New Roman" w:cs="仿宋"/>
          <w:sz w:val="24"/>
          <w:szCs w:val="24"/>
        </w:rPr>
        <w:t xml:space="preserve">万元，其中采购包1最高限价为178.13万元；采购包2最高限价为</w:t>
      </w:r>
      <w:r>
        <w:rPr>
          <w:rFonts w:ascii="Times New Roman" w:hAnsi="Times New Roman" w:cs="仿宋"/>
          <w:sz w:val="24"/>
          <w:szCs w:val="24"/>
        </w:rPr>
        <w:t xml:space="preserve">34</w:t>
      </w:r>
      <w:r>
        <w:rPr>
          <w:rFonts w:hint="eastAsia" w:ascii="Times New Roman" w:hAnsi="Times New Roman" w:cs="仿宋"/>
          <w:sz w:val="24"/>
          <w:szCs w:val="24"/>
        </w:rPr>
        <w:t xml:space="preserve">8.361万元。</w:t>
      </w:r>
      <w:bookmarkEnd w:id="1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采购包1果园高中（项里高中）校园教师台式计算机、学生台式计算机采购；</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采购包2果园高中（项里高中）校园服务器、LED屏、触控一体机等采购。</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6.合同履行期限：2026年</w:t>
      </w:r>
      <w:r>
        <w:rPr>
          <w:rFonts w:hint="eastAsia" w:ascii="Times New Roman" w:hAnsi="Times New Roman" w:cs="仿宋"/>
          <w:sz w:val="24"/>
          <w:szCs w:val="24"/>
          <w:lang w:val="en-US" w:eastAsia="zh-CN"/>
        </w:rPr>
        <w:t xml:space="preserve">7</w:t>
      </w:r>
      <w:r>
        <w:rPr>
          <w:rFonts w:hint="eastAsia" w:ascii="Times New Roman" w:hAnsi="Times New Roman" w:cs="仿宋"/>
          <w:sz w:val="24"/>
          <w:szCs w:val="24"/>
        </w:rPr>
        <w:t xml:space="preserve">月30日前履行合同约定的全部事项。</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782"/>
        <w:ind w:firstLine="643"/>
        <w:spacing w:before="0" w:after="0" w:line="480" w:lineRule="exact"/>
        <w:rPr>
          <w:rFonts w:eastAsia="宋体" w:cs="Arial"/>
          <w:bCs/>
          <w:szCs w:val="22"/>
        </w:rPr>
      </w:pPr>
      <w:r/>
      <w:bookmarkStart w:id="15" w:name="_Toc38985264"/>
      <w:r/>
      <w:bookmarkStart w:id="16" w:name="_Toc35393622"/>
      <w:r/>
      <w:bookmarkStart w:id="17" w:name="_Toc28359080"/>
      <w:r/>
      <w:bookmarkStart w:id="18" w:name="_Toc35393791"/>
      <w:r/>
      <w:bookmarkStart w:id="19" w:name="_Toc27291"/>
      <w:r/>
      <w:bookmarkStart w:id="20" w:name="_Toc28359003"/>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ascii="Times New Roman" w:hAnsi="Times New Roman" w:cs="仿宋"/>
          <w:sz w:val="24"/>
          <w:szCs w:val="24"/>
        </w:rPr>
      </w:pPr>
      <w:r/>
      <w:bookmarkStart w:id="21" w:name="_Toc35393792"/>
      <w:r/>
      <w:bookmarkStart w:id="22" w:name="_Toc28359081"/>
      <w:r/>
      <w:bookmarkStart w:id="23" w:name="_Toc28359004"/>
      <w:r/>
      <w:bookmarkStart w:id="24" w:name="_Toc38985265"/>
      <w:r/>
      <w:bookmarkStart w:id="25" w:name="_Toc35393623"/>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82"/>
        <w:ind w:firstLine="643"/>
        <w:spacing w:before="0" w:after="0" w:line="480" w:lineRule="exact"/>
        <w:rPr>
          <w:rFonts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82"/>
      <w:r/>
      <w:bookmarkStart w:id="28" w:name="_Toc28359005"/>
      <w:r/>
      <w:bookmarkStart w:id="29" w:name="_Toc38985266"/>
      <w:r/>
      <w:bookmarkStart w:id="30" w:name="_Toc35393793"/>
      <w:r/>
      <w:bookmarkStart w:id="31"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782"/>
        <w:ind w:firstLine="643"/>
        <w:spacing w:before="0" w:after="0" w:line="480" w:lineRule="exact"/>
        <w:rPr>
          <w:rFonts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highlight w:val="none"/>
          <w:lang w:val="en-US" w:eastAsia="zh-CN"/>
        </w:rPr>
        <w:t xml:space="preserve">6</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8</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82"/>
        <w:ind w:firstLine="643"/>
        <w:spacing w:before="0" w:after="0" w:line="480" w:lineRule="exact"/>
        <w:rPr>
          <w:rFonts w:eastAsia="宋体" w:cs="Arial"/>
          <w:bCs/>
          <w:szCs w:val="22"/>
        </w:rPr>
      </w:pPr>
      <w:r/>
      <w:bookmarkStart w:id="33" w:name="_Toc28359084"/>
      <w:r/>
      <w:bookmarkStart w:id="34" w:name="_Toc38985267"/>
      <w:r/>
      <w:bookmarkStart w:id="35" w:name="_Toc24820"/>
      <w:r/>
      <w:bookmarkStart w:id="36" w:name="_Toc28359007"/>
      <w:r/>
      <w:bookmarkStart w:id="37" w:name="_Toc35393625"/>
      <w:r/>
      <w:bookmarkStart w:id="38" w:name="_Toc35393794"/>
      <w:r>
        <w:rPr>
          <w:rFonts w:hint="eastAsia" w:eastAsia="宋体" w:cs="Arial"/>
          <w:bCs/>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sz w:val="24"/>
          <w:szCs w:val="24"/>
        </w:rPr>
      </w:pPr>
      <w:r/>
      <w:bookmarkStart w:id="39" w:name="_Toc35393626"/>
      <w:r/>
      <w:bookmarkStart w:id="40" w:name="_Toc35393795"/>
      <w:r/>
      <w:bookmarkStart w:id="41" w:name="_Toc38985268"/>
      <w:r>
        <w:rPr>
          <w:rFonts w:hint="eastAsia" w:ascii="Times New Roman" w:hAnsi="Times New Roman" w:cs="仿宋"/>
          <w:sz w:val="24"/>
          <w:szCs w:val="24"/>
        </w:rPr>
        <w:t xml:space="preserve">招标公告及招标文件公告期限为自本公告发布之日起5个工作日。</w:t>
      </w:r>
      <w:r/>
    </w:p>
    <w:p>
      <w:pPr>
        <w:pStyle w:val="782"/>
        <w:ind w:firstLine="643"/>
        <w:spacing w:before="0" w:after="0" w:line="480" w:lineRule="exact"/>
        <w:rPr>
          <w:rFonts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sz w:val="24"/>
          <w:szCs w:val="24"/>
        </w:rPr>
      </w:pPr>
      <w:r/>
      <w:bookmarkStart w:id="43" w:name="EB64e1f522fd8c43fcb4d3ba471386b3e7"/>
      <w:r/>
      <w:bookmarkStart w:id="44" w:name="_Toc35393627"/>
      <w:r/>
      <w:bookmarkStart w:id="45" w:name="_Toc35393796"/>
      <w:r/>
      <w:bookmarkStart w:id="46" w:name="_Toc28359085"/>
      <w:r/>
      <w:bookmarkStart w:id="47" w:name="_Toc38985269"/>
      <w:r/>
      <w:bookmarkStart w:id="48" w:name="_Toc28359008"/>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3"/>
      <w:r/>
      <w:r/>
    </w:p>
    <w:p>
      <w:pPr>
        <w:ind w:firstLine="480"/>
        <w:spacing w:line="480" w:lineRule="exact"/>
        <w:rPr>
          <w:rFonts w:ascii="Times New Roman" w:hAnsi="Times New Roman" w:cs="仿宋"/>
          <w:sz w:val="24"/>
        </w:rPr>
      </w:pPr>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782"/>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宿迁市教育局、宿迁市楚润数据集团有限公司</w:t>
      </w:r>
      <w:r/>
    </w:p>
    <w:p>
      <w:pPr>
        <w:ind w:firstLine="48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江苏省宿迁市宿城区太湖路261号、宿迁市宿城区发展大道7号321室</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周老师、荣先生</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联系方式：</w:t>
      </w:r>
      <w:bookmarkStart w:id="51" w:name="_Toc28359086"/>
      <w:r/>
      <w:bookmarkStart w:id="52" w:name="_Toc28359009"/>
      <w:r>
        <w:rPr>
          <w:rFonts w:hint="eastAsia" w:ascii="宋体" w:hAnsi="宋体"/>
          <w:sz w:val="24"/>
          <w:szCs w:val="24"/>
          <w:u w:val="single"/>
        </w:rPr>
        <w:t xml:space="preserve">0527-84389536、0527-80522809</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1"/>
      <w:r/>
      <w:bookmarkEnd w:id="52"/>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李想</w:t>
      </w:r>
      <w:r/>
    </w:p>
    <w:p>
      <w:pPr>
        <w:ind w:firstLine="480"/>
        <w:spacing w:line="480" w:lineRule="exact"/>
        <w:rPr>
          <w:rFonts w:ascii="仿宋_GB2312"/>
          <w:sz w:val="24"/>
        </w:rPr>
      </w:pPr>
      <w:r>
        <w:rPr>
          <w:rFonts w:hint="eastAsia" w:ascii="宋体" w:hAnsi="宋体"/>
          <w:sz w:val="24"/>
          <w:szCs w:val="24"/>
        </w:rPr>
        <w:t xml:space="preserve">联系方式：</w:t>
      </w:r>
      <w:bookmarkStart w:id="53" w:name="_Toc28359087"/>
      <w:r/>
      <w:bookmarkStart w:id="54" w:name="_Toc28359010"/>
      <w:r>
        <w:rPr>
          <w:rFonts w:hint="eastAsia" w:ascii="宋体" w:hAnsi="宋体"/>
          <w:sz w:val="24"/>
          <w:szCs w:val="24"/>
          <w:u w:val="single"/>
        </w:rPr>
        <w:t xml:space="preserve">0527-8439603</w:t>
      </w:r>
      <w:bookmarkEnd w:id="53"/>
      <w:r/>
      <w:bookmarkEnd w:id="54"/>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5" w:name="_Toc81575153"/>
      <w:r/>
      <w:bookmarkStart w:id="56" w:name="_Toc15265"/>
      <w:r/>
      <w:bookmarkStart w:id="57" w:name="_Toc81575190"/>
      <w:r/>
      <w:bookmarkStart w:id="58" w:name="_Toc9624"/>
      <w:r/>
      <w:bookmarkStart w:id="59" w:name="_Toc11687"/>
      <w:r>
        <w:rPr>
          <w:rFonts w:hint="eastAsia" w:eastAsia="黑体"/>
          <w:sz w:val="44"/>
        </w:rPr>
        <w:t xml:space="preserve">第二章  投标人须知</w:t>
      </w:r>
      <w:bookmarkEnd w:id="55"/>
      <w:r/>
      <w:bookmarkEnd w:id="56"/>
      <w:r/>
      <w:bookmarkEnd w:id="57"/>
      <w:r/>
      <w:bookmarkEnd w:id="58"/>
      <w:r/>
      <w:bookmarkEnd w:id="59"/>
      <w:r/>
      <w:r/>
    </w:p>
    <w:p>
      <w:pPr>
        <w:pStyle w:val="782"/>
        <w:spacing w:before="0" w:after="120" w:line="520" w:lineRule="exact"/>
        <w:rPr>
          <w:rFonts w:eastAsia="宋体" w:cs="Arial"/>
          <w:bCs/>
          <w:szCs w:val="22"/>
        </w:rPr>
      </w:pPr>
      <w:r/>
      <w:bookmarkStart w:id="60" w:name="_Toc4529"/>
      <w:r>
        <w:rPr>
          <w:rFonts w:hint="eastAsia" w:eastAsia="宋体" w:cs="Arial"/>
          <w:bCs/>
          <w:szCs w:val="22"/>
        </w:rPr>
        <w:t xml:space="preserve">投标人须知前附表：</w:t>
      </w:r>
      <w:bookmarkEnd w:id="60"/>
      <w:r/>
      <w:r/>
    </w:p>
    <w:tbl>
      <w:tblPr>
        <w:tblStyle w:val="791"/>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_GB2312" w:hAnsi="仿宋"/>
                <w:b/>
                <w:sz w:val="24"/>
                <w:szCs w:val="24"/>
              </w:rPr>
            </w:pPr>
            <w:r/>
            <w:bookmarkStart w:id="61" w:name="_Toc81575191"/>
            <w:r/>
            <w:bookmarkStart w:id="62" w:name="_Toc81575154"/>
            <w:r/>
            <w:bookmarkStart w:id="63" w:name="_Toc29262"/>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4" w:name="EB9a5853ee094f4f0ea6ec3169265f6f2c"/>
            <w:r>
              <w:rPr>
                <w:rFonts w:hint="eastAsia" w:ascii="Times New Roman" w:hAnsi="Times New Roman" w:cs="仿宋"/>
                <w:sz w:val="24"/>
                <w:szCs w:val="24"/>
              </w:rPr>
              <w:t xml:space="preserve">属性按以下第</w:t>
            </w:r>
            <w:bookmarkEnd w:id="64"/>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5" w:name="EBd5c6c026f9674c39b21b31ecd0c1e7fa"/>
            <w:r>
              <w:rPr>
                <w:rFonts w:hint="eastAsia" w:ascii="Times New Roman" w:hAnsi="Times New Roman" w:cs="仿宋"/>
                <w:sz w:val="24"/>
                <w:szCs w:val="24"/>
              </w:rPr>
              <w:t xml:space="preserve">采购；2.</w:t>
            </w:r>
            <w:bookmarkEnd w:id="65"/>
            <w:r>
              <w:rPr>
                <w:rFonts w:hint="eastAsia" w:ascii="Times New Roman" w:hAnsi="Times New Roman" w:cs="仿宋"/>
                <w:sz w:val="24"/>
                <w:szCs w:val="24"/>
              </w:rPr>
              <w:t xml:space="preserve">服务</w:t>
            </w:r>
            <w:bookmarkStart w:id="66" w:name="EBf7d2a4f44ecb4166a93ea852e73be69f"/>
            <w:r>
              <w:rPr>
                <w:rFonts w:hint="eastAsia" w:ascii="Times New Roman" w:hAnsi="Times New Roman" w:cs="仿宋"/>
                <w:sz w:val="24"/>
                <w:szCs w:val="24"/>
              </w:rPr>
              <w:t xml:space="preserve">采购；3.</w:t>
            </w:r>
            <w:bookmarkEnd w:id="66"/>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rPr>
              <w:t xml:space="preserve">90日（从提交投标文件截止之日起算）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68" w:name="EBebac1462c5d9459fbda8a75065c2455d"/>
            <w:r>
              <w:rPr>
                <w:rFonts w:hint="eastAsia" w:ascii="Times New Roman" w:hAnsi="Times New Roman" w:cs="仿宋"/>
                <w:sz w:val="24"/>
                <w:szCs w:val="24"/>
              </w:rPr>
              <w:t xml:space="preserve">本项目的非主体、非关键性工作是否允许分包</w:t>
            </w:r>
            <w:bookmarkEnd w:id="6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6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9"/>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3"/>
              </w:num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numPr>
                <w:ilvl w:val="0"/>
                <w:numId w:val="3"/>
              </w:numPr>
              <w:ind w:left="0" w:firstLine="0"/>
              <w:jc w:val="left"/>
              <w:spacing w:line="400" w:lineRule="exact"/>
              <w:rPr>
                <w:rFonts w:hint="eastAsia" w:ascii="Times New Roman" w:hAnsi="Times New Roman" w:cs="方正仿宋_GBK"/>
                <w:sz w:val="24"/>
              </w:rPr>
            </w:pPr>
            <w:r>
              <w:rPr>
                <w:rFonts w:hint="eastAsia" w:ascii="宋体" w:hAnsi="宋体"/>
                <w:sz w:val="24"/>
                <w:szCs w:val="24"/>
              </w:rPr>
              <w:t xml:space="preserve">招标人不统一组织勘察现场，</w:t>
            </w:r>
            <w:r>
              <w:rPr>
                <w:rFonts w:hint="eastAsia" w:ascii="Times New Roman" w:hAnsi="Times New Roman" w:cs="方正仿宋_GBK"/>
                <w:sz w:val="24"/>
              </w:rPr>
              <w:t xml:space="preserve">如有需要，请自行与宿迁市教育局、宿迁市楚润数据集团有限公司联系。勘察联系人：荣先生 ；电话：0527-80522809；勘察时间：工作日 9:00-17:30</w:t>
            </w:r>
            <w:r>
              <w:rPr>
                <w:rFonts w:hint="eastAsia" w:ascii="Times New Roman" w:hAnsi="Times New Roman" w:cs="方正仿宋_GBK"/>
                <w:sz w:val="24"/>
                <w:lang w:eastAsia="zh-CN"/>
              </w:rPr>
              <w:t xml:space="preserve">。</w:t>
            </w:r>
            <w:r/>
          </w:p>
          <w:p>
            <w:pPr>
              <w:numPr>
                <w:ilvl w:val="0"/>
                <w:numId w:val="0"/>
              </w:numPr>
              <w:jc w:val="left"/>
              <w:spacing w:line="400" w:lineRule="exact"/>
              <w:rPr>
                <w:rFonts w:hint="eastAsia" w:ascii="Times New Roman" w:hAnsi="Times New Roman" w:cs="方正仿宋_GBK"/>
                <w:sz w:val="24"/>
              </w:rPr>
            </w:pPr>
            <w:r>
              <w:rPr>
                <w:rFonts w:hint="eastAsia" w:ascii="Times New Roman" w:hAnsi="Times New Roman" w:cs="方正仿宋_GBK"/>
                <w:sz w:val="24"/>
              </w:rPr>
              <w:t xml:space="preserve">3.本项目共分两个采购包。投标人应针对不同采购包分别编制投标文件，并上传至对应的采购包。如若未按要求操作和上传失误，自行负责。</w:t>
            </w:r>
            <w:r/>
          </w:p>
          <w:p>
            <w:pPr>
              <w:numPr>
                <w:ilvl w:val="0"/>
                <w:numId w:val="0"/>
              </w:numPr>
              <w:jc w:val="left"/>
              <w:spacing w:line="400" w:lineRule="exact"/>
              <w:rPr>
                <w:rFonts w:hint="eastAsia" w:ascii="Times New Roman" w:hAnsi="Times New Roman" w:cs="方正仿宋_GBK"/>
                <w:sz w:val="24"/>
              </w:rPr>
            </w:pPr>
            <w:r>
              <w:rPr>
                <w:rFonts w:hint="eastAsia" w:ascii="Times New Roman" w:hAnsi="Times New Roman" w:cs="方正仿宋_GBK"/>
                <w:sz w:val="24"/>
                <w:lang w:val="en-US" w:eastAsia="zh-CN"/>
              </w:rPr>
              <w:t xml:space="preserve">4.</w:t>
            </w:r>
            <w:r>
              <w:rPr>
                <w:rFonts w:hint="eastAsia" w:ascii="Times New Roman" w:hAnsi="Times New Roman" w:cs="方正仿宋_GBK"/>
                <w:sz w:val="24"/>
              </w:rPr>
              <w:t xml:space="preserve">本项目不限制同一投标人中标的采购包数量。</w:t>
            </w:r>
            <w:r/>
          </w:p>
        </w:tc>
      </w:tr>
    </w:tbl>
    <w:p>
      <w:pPr>
        <w:rPr>
          <w:sz w:val="20"/>
        </w:rPr>
      </w:pPr>
      <w:r>
        <w:rPr>
          <w:sz w:val="20"/>
        </w:rPr>
      </w:r>
      <w:r/>
    </w:p>
    <w:p>
      <w:pPr>
        <w:pStyle w:val="782"/>
        <w:ind w:firstLine="321"/>
        <w:spacing w:before="0" w:after="0" w:line="480" w:lineRule="exact"/>
        <w:rPr>
          <w:rFonts w:eastAsia="宋体" w:cs="Arial"/>
          <w:bCs/>
          <w:szCs w:val="22"/>
        </w:rPr>
      </w:pPr>
      <w:r/>
      <w:bookmarkStart w:id="71" w:name="EB6eaaf474639940df900ef4965d71f450"/>
      <w:r/>
      <w:bookmarkEnd w:id="71"/>
      <w:r/>
      <w:bookmarkStart w:id="72" w:name="_Toc30953"/>
      <w:r/>
      <w:bookmarkStart w:id="73" w:name="_Toc8239"/>
      <w:r/>
      <w:bookmarkStart w:id="74" w:name="_Toc81575192"/>
      <w:r/>
      <w:bookmarkStart w:id="75" w:name="_Toc81575155"/>
      <w:r>
        <w:rPr>
          <w:rFonts w:hint="eastAsia" w:eastAsia="宋体" w:cs="Arial"/>
          <w:bCs/>
          <w:szCs w:val="22"/>
        </w:rPr>
        <w:br w:type="page" w:clear="all"/>
      </w:r>
      <w:r>
        <w:rPr>
          <w:rFonts w:hint="eastAsia" w:eastAsia="宋体" w:cs="Arial"/>
          <w:bCs/>
          <w:szCs w:val="22"/>
        </w:rPr>
        <w:t xml:space="preserve">一、总 则</w:t>
      </w:r>
      <w:bookmarkEnd w:id="72"/>
      <w:r/>
      <w:bookmarkEnd w:id="73"/>
      <w:r/>
      <w:bookmarkEnd w:id="74"/>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82"/>
        <w:ind w:firstLine="321"/>
        <w:spacing w:before="0" w:after="0" w:line="480" w:lineRule="exact"/>
        <w:rPr>
          <w:rFonts w:eastAsia="宋体" w:cs="Arial"/>
          <w:bCs/>
          <w:szCs w:val="22"/>
        </w:rPr>
      </w:pPr>
      <w:r/>
      <w:bookmarkStart w:id="76" w:name="_Toc81575193"/>
      <w:r/>
      <w:bookmarkStart w:id="77" w:name="_Toc29306"/>
      <w:r/>
      <w:bookmarkStart w:id="78" w:name="_Toc15995"/>
      <w:r/>
      <w:bookmarkStart w:id="79" w:name="_Toc81575156"/>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highlight w:val="yellow"/>
          <w:u w:val="single"/>
        </w:rPr>
        <w:t xml:space="preserve">6.1/6.2/6.3/6.4.1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80"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80"/>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782"/>
        <w:ind w:firstLine="321"/>
        <w:spacing w:before="0" w:after="0" w:line="480" w:lineRule="exact"/>
        <w:rPr>
          <w:rFonts w:eastAsia="宋体" w:cs="Arial"/>
          <w:bCs/>
          <w:szCs w:val="22"/>
        </w:rPr>
      </w:pPr>
      <w:r/>
      <w:bookmarkStart w:id="81" w:name="_Toc81575157"/>
      <w:r/>
      <w:bookmarkStart w:id="82" w:name="_Toc5574"/>
      <w:r/>
      <w:bookmarkStart w:id="83" w:name="_Toc81575194"/>
      <w:r/>
      <w:bookmarkStart w:id="84" w:name="_Toc11461"/>
      <w:r>
        <w:rPr>
          <w:rFonts w:hint="eastAsia" w:eastAsia="宋体" w:cs="Arial"/>
          <w:bCs/>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6"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82"/>
        <w:ind w:firstLine="321"/>
        <w:spacing w:before="0" w:after="0" w:line="480" w:lineRule="exact"/>
        <w:rPr>
          <w:rFonts w:eastAsia="宋体" w:cs="Arial"/>
          <w:bCs/>
          <w:szCs w:val="22"/>
        </w:rPr>
      </w:pPr>
      <w:r/>
      <w:bookmarkStart w:id="87" w:name="_Toc2773"/>
      <w:r/>
      <w:bookmarkStart w:id="88" w:name="_Toc81575158"/>
      <w:r/>
      <w:bookmarkStart w:id="89" w:name="_Toc23443"/>
      <w:r/>
      <w:bookmarkStart w:id="90" w:name="_Toc81575195"/>
      <w:r>
        <w:rPr>
          <w:rFonts w:hint="eastAsia" w:eastAsia="宋体" w:cs="Arial"/>
          <w:bCs/>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82"/>
        <w:ind w:firstLine="321"/>
        <w:spacing w:before="0" w:after="0" w:line="520" w:lineRule="exact"/>
        <w:rPr>
          <w:rFonts w:eastAsia="宋体" w:cs="Arial"/>
          <w:bCs/>
          <w:szCs w:val="22"/>
        </w:rPr>
      </w:pPr>
      <w:r/>
      <w:bookmarkStart w:id="91" w:name="_Toc959"/>
      <w:r/>
      <w:bookmarkStart w:id="92" w:name="_Toc81575197"/>
      <w:r/>
      <w:bookmarkStart w:id="93" w:name="_Toc81575160"/>
      <w:r/>
      <w:bookmarkStart w:id="94" w:name="_Toc20026"/>
      <w:r>
        <w:rPr>
          <w:rFonts w:hint="eastAsia" w:eastAsia="宋体" w:cs="Arial"/>
          <w:bCs/>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5"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82"/>
        <w:ind w:firstLine="321"/>
        <w:spacing w:before="0" w:after="0" w:line="480" w:lineRule="exact"/>
        <w:rPr>
          <w:rFonts w:eastAsia="宋体" w:cs="Arial"/>
          <w:bCs/>
          <w:color w:val="000000"/>
          <w:szCs w:val="22"/>
        </w:rPr>
      </w:pPr>
      <w:r/>
      <w:bookmarkStart w:id="98" w:name="_Toc81575196"/>
      <w:r/>
      <w:bookmarkStart w:id="99" w:name="_Toc81575159"/>
      <w:r/>
      <w:bookmarkStart w:id="100" w:name="_Toc8712"/>
      <w:r/>
      <w:bookmarkStart w:id="101" w:name="_Toc8841"/>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3" w:name="_Toc81575161"/>
      <w:r/>
      <w:bookmarkStart w:id="104" w:name="_Toc6494"/>
      <w:r/>
      <w:bookmarkStart w:id="105" w:name="_Toc2391"/>
      <w:r/>
      <w:bookmarkStart w:id="106" w:name="_Toc81575198"/>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2</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1.2</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82"/>
        <w:spacing w:before="0" w:after="0" w:line="520" w:lineRule="exact"/>
        <w:rPr>
          <w:rFonts w:eastAsia="宋体" w:cs="Arial"/>
          <w:bCs/>
          <w:szCs w:val="22"/>
        </w:rPr>
      </w:pPr>
      <w:r/>
      <w:bookmarkStart w:id="108" w:name="_Toc81575162"/>
      <w:r/>
      <w:bookmarkStart w:id="109" w:name="_Toc22084"/>
      <w:r/>
      <w:bookmarkStart w:id="110" w:name="_Toc7550"/>
      <w:r/>
      <w:bookmarkStart w:id="111" w:name="_Toc81575199"/>
      <w:r>
        <w:rPr>
          <w:rFonts w:hint="eastAsia" w:eastAsia="宋体" w:cs="Arial"/>
          <w:bCs/>
          <w:szCs w:val="22"/>
        </w:rPr>
        <w:t xml:space="preserve">八、</w:t>
      </w:r>
      <w:bookmarkEnd w:id="108"/>
      <w:r/>
      <w:bookmarkEnd w:id="109"/>
      <w:r/>
      <w:bookmarkEnd w:id="110"/>
      <w:r/>
      <w:bookmarkEnd w:id="111"/>
      <w:r/>
      <w:bookmarkStart w:id="112" w:name="_Toc81575200"/>
      <w:r/>
      <w:bookmarkStart w:id="113" w:name="_Toc81575163"/>
      <w:r/>
      <w:bookmarkStart w:id="114" w:name="_Toc12263"/>
      <w:r/>
      <w:bookmarkStart w:id="115" w:name="_Toc31888"/>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781"/>
        <w:jc w:val="center"/>
        <w:spacing w:before="200"/>
      </w:pPr>
      <w:r/>
      <w:bookmarkStart w:id="118" w:name="EB4d341233595e4bf8ad7006b4bd78d974"/>
      <w:r/>
      <w:bookmarkEnd w:id="118"/>
      <w:r/>
      <w:bookmarkStart w:id="119" w:name="_Toc81575164"/>
      <w:r/>
      <w:bookmarkStart w:id="120" w:name="_Toc81575201"/>
      <w:r/>
      <w:bookmarkStart w:id="121" w:name="_Hlk166141273"/>
      <w:r>
        <w:rPr>
          <w:rFonts w:hint="eastAsia"/>
        </w:rPr>
        <w:br w:type="page" w:clear="all"/>
      </w:r>
      <w:bookmarkStart w:id="122" w:name="_Toc17961"/>
      <w:r>
        <w:rPr>
          <w:rFonts w:hint="eastAsia" w:ascii="Calibri" w:hAnsi="Calibri" w:eastAsia="宋体" w:cs="Times New Roman"/>
          <w:b/>
          <w:sz w:val="44"/>
          <w:szCs w:val="44"/>
        </w:rPr>
        <w:t xml:space="preserve">第三章  资格审查及评标</w:t>
      </w:r>
      <w:bookmarkEnd w:id="119"/>
      <w:r/>
      <w:bookmarkEnd w:id="12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lang w:val="en-US" w:eastAsia="zh-CN"/>
              </w:rPr>
            </w:pPr>
            <w:r>
              <w:rPr>
                <w:rFonts w:hint="eastAsia" w:ascii="Times New Roman" w:hAnsi="Times New Roman" w:cs="仿宋"/>
                <w:lang w:val="en-US" w:eastAsia="zh-CN"/>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承诺函（采购包1）</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vMerge w:val="restart"/>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其他</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vMerge w:val="restart"/>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p>
      <w:pPr>
        <w:ind w:firstLine="482"/>
        <w:jc w:val="left"/>
        <w:spacing w:line="480" w:lineRule="exact"/>
        <w:rPr>
          <w:rFonts w:ascii="Times New Roman" w:hAnsi="Times New Roman" w:eastAsia="仿宋_GB2312" w:cs="仿宋"/>
          <w:b/>
          <w:bCs/>
          <w:sz w:val="24"/>
        </w:rPr>
      </w:pPr>
      <w:r>
        <w:rPr>
          <w:rFonts w:hint="eastAsia" w:ascii="仿宋_GB2312" w:eastAsia="仿宋_GB2312"/>
          <w:b/>
          <w:bCs/>
          <w:sz w:val="24"/>
        </w:rPr>
        <w:t xml:space="preserve">采购包1：</w:t>
      </w:r>
      <w:r/>
    </w:p>
    <w:tbl>
      <w:tblPr>
        <w:tblStyle w:val="791"/>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jc w:val="center"/>
              <w:spacing w:line="360" w:lineRule="exact"/>
              <w:widowControl/>
              <w:rPr>
                <w:rFonts w:ascii="Times New Roman" w:hAnsi="Times New Roman" w:cs="宋体"/>
                <w:szCs w:val="24"/>
              </w:rPr>
            </w:pPr>
            <w:r/>
            <w:bookmarkStart w:id="123" w:name="RANGE!A1"/>
            <w:r>
              <w:rPr>
                <w:rFonts w:hint="eastAsia" w:ascii="Times New Roman" w:hAnsi="Times New Roman" w:cs="宋体"/>
                <w:szCs w:val="24"/>
              </w:rPr>
              <w:t xml:space="preserve">评审因素</w:t>
            </w:r>
            <w:bookmarkEnd w:id="123"/>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p>
        </w:tc>
        <w:tc>
          <w:tcPr>
            <w:tcW w:w="643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p>
        </w:tc>
      </w:tr>
      <w:tr>
        <w:trPr>
          <w:jc w:val="center"/>
          <w:trHeight w:val="274"/>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采用低价优先法计算，即满足招标文件要求且投标价格最低的投标报价为评标基准价，其价格分为满分。其他投标人投标报价得分＝（评标基准价/投标报价）*40。</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注：1.符合规定的小微企业（含监狱企业和残疾人福利单位）报价给予15%的扣除，用扣除后的价格参加评审。</w:t>
            </w:r>
            <w:r/>
          </w:p>
          <w:p>
            <w:pPr>
              <w:spacing w:line="360" w:lineRule="exact"/>
              <w:rPr>
                <w:rFonts w:ascii="Times New Roman" w:hAnsi="Times New Roman" w:cs="仿宋"/>
              </w:rPr>
            </w:pPr>
            <w:r>
              <w:rPr>
                <w:rFonts w:hint="eastAsia" w:ascii="Times New Roman" w:hAnsi="Times New Roman" w:cs="宋体"/>
                <w:szCs w:val="24"/>
              </w:rPr>
              <w:t xml:space="preserve">2.</w:t>
            </w:r>
            <w:r>
              <w:rPr>
                <w:rFonts w:hint="eastAsia" w:ascii="Times New Roman" w:hAnsi="Times New Roman" w:cs="仿宋"/>
              </w:rPr>
              <w:t xml:space="preserve"> 符合规定的本国产品的报价给予</w:t>
            </w:r>
            <w:r>
              <w:rPr>
                <w:rFonts w:hint="eastAsia" w:ascii="Times New Roman" w:hAnsi="Times New Roman" w:cs="仿宋"/>
                <w:bCs/>
                <w:u w:val="single"/>
              </w:rPr>
              <w:t xml:space="preserve">20%</w:t>
            </w:r>
            <w:r>
              <w:rPr>
                <w:rFonts w:hint="eastAsia" w:ascii="Times New Roman" w:hAnsi="Times New Roman" w:cs="仿宋"/>
              </w:rPr>
              <w:t xml:space="preserve">的价格扣除，用扣除后的价格参与评审。</w:t>
            </w:r>
            <w:r/>
          </w:p>
        </w:tc>
      </w:tr>
      <w:tr>
        <w:trPr>
          <w:jc w:val="center"/>
          <w:trHeight w:val="859"/>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技术响应</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36.00分</w:t>
            </w:r>
            <w:r/>
          </w:p>
        </w:tc>
        <w:tc>
          <w:tcPr>
            <w:tcW w:w="6431" w:type="dxa"/>
            <w:vAlign w:val="center"/>
            <w:textDirection w:val="lrTb"/>
            <w:noWrap w:val="false"/>
          </w:tcPr>
          <w:p>
            <w:pPr>
              <w:pStyle w:val="829"/>
              <w:jc w:val="both"/>
              <w:spacing w:before="0" w:beforeAutospacing="0" w:after="0" w:afterAutospacing="0" w:line="360" w:lineRule="exact"/>
              <w:widowControl w:val="off"/>
              <w:rPr>
                <w:rFonts w:ascii="Times New Roman" w:hAnsi="Times New Roman"/>
                <w:sz w:val="21"/>
              </w:rPr>
            </w:pPr>
            <w:r>
              <w:rPr>
                <w:rFonts w:hint="eastAsia" w:ascii="Times New Roman" w:hAnsi="Times New Roman"/>
                <w:sz w:val="21"/>
              </w:rPr>
              <w:t xml:space="preserve">针对招标文件采购清单及技术要求内容（★项除外）进行评分，所投产品技术参数完全满足或优于采购文件技术参数要求的得36分。“▲”为重点参数要求，每有一项（一个句号的完整内容为一“项”，共17项）不满足的扣1分；“○”项为一般参数要求，每有一项（一个句号的完整内容为一“项”，“▲”项除外，共38项）不满足扣0.5分，扣完为止。</w:t>
            </w:r>
            <w:r/>
          </w:p>
          <w:p>
            <w:pPr>
              <w:pStyle w:val="829"/>
              <w:jc w:val="both"/>
              <w:spacing w:before="0" w:beforeAutospacing="0" w:after="0" w:afterAutospacing="0" w:line="360" w:lineRule="exact"/>
              <w:widowControl w:val="off"/>
              <w:rPr>
                <w:rFonts w:ascii="Times New Roman" w:hAnsi="Times New Roman"/>
                <w:sz w:val="21"/>
              </w:rPr>
            </w:pPr>
            <w:r>
              <w:rPr>
                <w:rFonts w:hint="eastAsia" w:ascii="Times New Roman" w:hAnsi="Times New Roman"/>
                <w:sz w:val="21"/>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除特别说明外，证明材料可以是官网截图、产品彩页、说明书、厂商证明、相关照片（截图）等任意一种可以证明满足相关要求的材料。</w:t>
            </w:r>
            <w:r/>
          </w:p>
        </w:tc>
      </w:tr>
      <w:tr>
        <w:trPr>
          <w:jc w:val="center"/>
          <w:trHeight w:val="1757"/>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rPr>
              <w:t xml:space="preserve">环境标志认证</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1.00分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tc>
      </w:tr>
      <w:tr>
        <w:trPr>
          <w:jc w:val="center"/>
          <w:trHeight w:val="1140"/>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企业</w:t>
            </w:r>
            <w:r/>
          </w:p>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业绩</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6.00分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投标人自2023年1月1日以来（以合同签订时间为准）承担过类似项目业绩的，每有一个得2分，最高得6分。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注：同时提供合同、验收合格证明材料电子件（主要内容清晰可见，含主要标的物、合同金额和合同盖章页等），未提供或提供不全不得分。</w:t>
            </w:r>
            <w:r/>
          </w:p>
        </w:tc>
      </w:tr>
      <w:tr>
        <w:trPr>
          <w:jc w:val="center"/>
          <w:trHeight w:val="855"/>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项目实施方案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5.00分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根据投标文件中项目供货方案、实施计划等方面进行评审。优于采购需求得5分；符合采购需求得3分；其他情况不得分。</w:t>
            </w:r>
            <w:r/>
          </w:p>
        </w:tc>
      </w:tr>
      <w:tr>
        <w:trPr>
          <w:jc w:val="center"/>
          <w:trHeight w:val="855"/>
        </w:trPr>
        <w:tc>
          <w:tcPr>
            <w:tcW w:w="1405" w:type="dxa"/>
            <w:vAlign w:val="center"/>
            <w:textDirection w:val="lrTb"/>
            <w:noWrap w:val="false"/>
          </w:tcPr>
          <w:p>
            <w:pPr>
              <w:jc w:val="left"/>
              <w:spacing w:line="360" w:lineRule="exact"/>
              <w:widowControl/>
              <w:rPr>
                <w:rFonts w:ascii="Times New Roman" w:hAnsi="Times New Roman" w:cs="宋体"/>
                <w:szCs w:val="24"/>
              </w:rPr>
            </w:pPr>
            <w:r/>
            <w:bookmarkStart w:id="124" w:name="_Toc12255"/>
            <w:r/>
            <w:bookmarkStart w:id="125" w:name="_Toc81575205"/>
            <w:r/>
            <w:bookmarkStart w:id="126" w:name="_Toc2916"/>
            <w:r/>
            <w:bookmarkStart w:id="127" w:name="_Toc81575168"/>
            <w:r/>
            <w:bookmarkStart w:id="128" w:name="_Toc14442"/>
            <w:r>
              <w:rPr>
                <w:rFonts w:hint="eastAsia" w:ascii="Times New Roman" w:hAnsi="Times New Roman" w:cs="宋体"/>
                <w:szCs w:val="24"/>
              </w:rPr>
              <w:t xml:space="preserve">质量保证方案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根据投标文件中项目质量保证方案进行评审。优于采购需求得4分；符合采购需求得2.5分；其他情况不得分。</w:t>
            </w:r>
            <w:r/>
          </w:p>
        </w:tc>
      </w:tr>
      <w:tr>
        <w:trPr>
          <w:jc w:val="center"/>
          <w:trHeight w:val="855"/>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培训方案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根据投标文件中针对本项目制定的培训计划进行评审，含培训人数、时间、培训目标、培训内容等进行评审。优于采购需求得4分；符合采购需求得2.5分；其他情况不得分。</w:t>
            </w:r>
            <w:r/>
          </w:p>
        </w:tc>
      </w:tr>
      <w:tr>
        <w:trPr>
          <w:jc w:val="center"/>
          <w:trHeight w:val="855"/>
        </w:trPr>
        <w:tc>
          <w:tcPr>
            <w:tcW w:w="1405"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售后服务</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人提供的售后服务体系、售后服务人员、售后服务承诺、售后服务应答及处理时间，质保期内的售后服务范围、质保期满后的售后服务范围进行评审。优于采购需求得4分；符合采购需求得2.5分；其他情况不得分。</w:t>
            </w:r>
            <w:r/>
          </w:p>
        </w:tc>
      </w:tr>
    </w:tbl>
    <w:p>
      <w:r/>
      <w:r/>
    </w:p>
    <w:p>
      <w:r/>
      <w:r/>
    </w:p>
    <w:p>
      <w:r/>
      <w:r/>
    </w:p>
    <w:p>
      <w:r>
        <w:rPr>
          <w:rFonts w:hint="eastAsia"/>
        </w:rPr>
        <w:t xml:space="preserve">采</w:t>
      </w:r>
      <w:r>
        <w:rPr>
          <w:rFonts w:hint="eastAsia" w:ascii="Times New Roman" w:hAnsi="Times New Roman" w:cs="宋体"/>
          <w:szCs w:val="24"/>
        </w:rPr>
        <w:t xml:space="preserve">购包2：</w:t>
      </w:r>
      <w:r/>
    </w:p>
    <w:tbl>
      <w:tblPr>
        <w:tblStyle w:val="791"/>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评审因素</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p>
        </w:tc>
        <w:tc>
          <w:tcPr>
            <w:tcW w:w="643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p>
        </w:tc>
      </w:tr>
      <w:tr>
        <w:trPr>
          <w:jc w:val="center"/>
          <w:trHeight w:val="274"/>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采用低价优先法计算，即满足招标文件要求且投标价格最低的投标报价为评标基准价，其价格分为满分。其他投标人投标报价得分＝（评标基准价/投标报价）*40。</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注：1.符合规定的小微企业（含监狱企业和残疾人福利单位）报价给予15%的扣除，用扣除后的价格参加评审。</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2.</w:t>
            </w:r>
            <w:r>
              <w:rPr>
                <w:rFonts w:hint="eastAsia" w:ascii="Times New Roman" w:hAnsi="Times New Roman" w:cs="仿宋"/>
              </w:rPr>
              <w:t xml:space="preserve"> 符合规定的本国产品的报价给予</w:t>
            </w:r>
            <w:r>
              <w:rPr>
                <w:rFonts w:hint="eastAsia" w:ascii="Times New Roman" w:hAnsi="Times New Roman" w:cs="仿宋"/>
                <w:bCs/>
                <w:u w:val="single"/>
              </w:rPr>
              <w:t xml:space="preserve">20%</w:t>
            </w:r>
            <w:r>
              <w:rPr>
                <w:rFonts w:hint="eastAsia" w:ascii="Times New Roman" w:hAnsi="Times New Roman" w:cs="仿宋"/>
              </w:rPr>
              <w:t xml:space="preserve">的价格扣除，用扣除后的价格参与评审。</w:t>
            </w:r>
            <w:r/>
          </w:p>
        </w:tc>
      </w:tr>
      <w:tr>
        <w:trPr>
          <w:jc w:val="center"/>
          <w:trHeight w:val="859"/>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技术响应</w:t>
            </w:r>
            <w:r/>
          </w:p>
        </w:tc>
        <w:tc>
          <w:tcPr>
            <w:tcW w:w="1114"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31.00分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针对招标文件采购清单及技术要求内容（★项除外）进行评分，所投产品技术参数性能、质量等完全满足或优于招标文件技术参数要求的得31分。</w:t>
            </w:r>
            <w:r>
              <w:rPr>
                <w:rFonts w:hint="eastAsia" w:ascii="Times New Roman" w:hAnsi="Times New Roman"/>
              </w:rPr>
              <w:t xml:space="preserve">“▲”为重点参数要求，每有一项（一个句号的完整内容为一“项”，共40项）不满足的扣0.4分；“○”项为一般参数要求，每有一项（一个句号的完整内容为一“项”，“▲”项除外，共</w:t>
            </w:r>
            <w:r>
              <w:rPr>
                <w:rFonts w:hint="eastAsia" w:ascii="Times New Roman" w:hAnsi="Times New Roman"/>
                <w:lang w:val="en-US" w:eastAsia="zh-CN"/>
              </w:rPr>
              <w:t xml:space="preserve">150</w:t>
            </w:r>
            <w:r>
              <w:rPr>
                <w:rFonts w:hint="eastAsia" w:ascii="Times New Roman" w:hAnsi="Times New Roman"/>
              </w:rPr>
              <w:t xml:space="preserve">项）不满足扣0.1分。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除特别说明外，证明材料可以是检测报告、官网截图、产品彩页、说明书、厂商证明、相关照片（截图）等任意一种可以证明满足相关要求的材料。</w:t>
            </w:r>
            <w:r/>
          </w:p>
        </w:tc>
      </w:tr>
      <w:tr>
        <w:trPr>
          <w:jc w:val="center"/>
          <w:trHeight w:val="416"/>
        </w:trPr>
        <w:tc>
          <w:tcPr>
            <w:tcW w:w="1405" w:type="dxa"/>
            <w:vAlign w:val="center"/>
            <w:textDirection w:val="lrTb"/>
            <w:noWrap w:val="false"/>
          </w:tcPr>
          <w:p>
            <w:pPr>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节能</w:t>
            </w:r>
            <w:r/>
          </w:p>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环境标志认证</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2.00分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tc>
      </w:tr>
      <w:tr>
        <w:trPr>
          <w:jc w:val="center"/>
          <w:trHeight w:val="541"/>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企业</w:t>
            </w:r>
            <w:r/>
          </w:p>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业绩</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投标人自2023年1月1日以来（以合同签订时间为准）承担过类似（合同内容至少包括服务器、电脑、信息安全设备、触控一体机、LED显示屏、多媒体会议、不间断电源其中的两项）项目业绩的，每有一个得1分，最高得4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注：同时提供合同、验收合格证明材料电子件（主要内容清晰可见，含主要标的物、合同金额和合同盖章页等），未提供或提供不全不得分。</w:t>
            </w:r>
            <w:r/>
          </w:p>
        </w:tc>
      </w:tr>
      <w:tr>
        <w:trPr>
          <w:jc w:val="center"/>
          <w:trHeight w:val="60"/>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项目实施方案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根据投标文件中项目供货方案、实施计划等方面进行评审。优于采购需求得4分；符合采购需求得2.5分；其他情况不得分。</w:t>
            </w:r>
            <w:r/>
          </w:p>
        </w:tc>
      </w:tr>
      <w:tr>
        <w:trPr>
          <w:jc w:val="center"/>
          <w:trHeight w:val="855"/>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质量保证方案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根据投标文件中项目质量保证方案进行评审。优于采购需求得4分；符合采购需求得2.5分；其他情况不得分。</w:t>
            </w:r>
            <w:r/>
          </w:p>
        </w:tc>
      </w:tr>
      <w:tr>
        <w:trPr>
          <w:jc w:val="center"/>
          <w:trHeight w:val="855"/>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ascii="Times New Roman" w:hAnsi="Times New Roman" w:cs="宋体"/>
                <w:szCs w:val="24"/>
              </w:rPr>
              <w:t xml:space="preserve">培训方案</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w:t>
            </w:r>
            <w:r>
              <w:rPr>
                <w:rFonts w:ascii="Times New Roman" w:hAnsi="Times New Roman" w:cs="宋体"/>
                <w:szCs w:val="24"/>
              </w:rPr>
              <w:t xml:space="preserve">.00分</w:t>
            </w:r>
            <w:r/>
          </w:p>
        </w:tc>
        <w:tc>
          <w:tcPr>
            <w:tcW w:w="6431" w:type="dxa"/>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根据投标文件中针对本项目制定的培训计划进行评审，含培训人数、时间、培训目标、培训内容等进行评审。优于采购需求得4分；符合采购需求得2.5分；其他情况不得分。</w:t>
            </w:r>
            <w:r/>
          </w:p>
        </w:tc>
      </w:tr>
      <w:tr>
        <w:trPr>
          <w:jc w:val="center"/>
          <w:trHeight w:val="855"/>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人员配备</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7.00分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1.项目经理</w:t>
            </w:r>
            <w:r>
              <w:rPr>
                <w:rFonts w:hint="eastAsia" w:ascii="Times New Roman" w:hAnsi="Times New Roman" w:cs="宋体"/>
                <w:szCs w:val="24"/>
                <w:lang w:eastAsia="zh-CN"/>
              </w:rPr>
              <w:t xml:space="preserve">（</w:t>
            </w:r>
            <w:r>
              <w:rPr>
                <w:rFonts w:hint="eastAsia" w:ascii="Times New Roman" w:hAnsi="Times New Roman" w:cs="宋体"/>
                <w:szCs w:val="24"/>
                <w:lang w:val="en-US" w:eastAsia="zh-CN"/>
              </w:rPr>
              <w:t xml:space="preserve">1人</w:t>
            </w:r>
            <w:r>
              <w:rPr>
                <w:rFonts w:hint="eastAsia" w:ascii="Times New Roman" w:hAnsi="Times New Roman" w:cs="宋体"/>
                <w:szCs w:val="24"/>
                <w:lang w:eastAsia="zh-CN"/>
              </w:rPr>
              <w:t xml:space="preserve">）</w:t>
            </w:r>
            <w:r>
              <w:rPr>
                <w:rFonts w:hint="eastAsia" w:ascii="Times New Roman" w:hAnsi="Times New Roman" w:cs="宋体"/>
                <w:szCs w:val="24"/>
              </w:rPr>
              <w:t xml:space="preserve">具有高级工程师（电子信息工程专业）或信息系统项目管理师证书的，每有一个证书得1分，最高得2分。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2.技术负责人（</w:t>
            </w:r>
            <w:r>
              <w:rPr>
                <w:rFonts w:hint="eastAsia" w:ascii="Times New Roman" w:hAnsi="Times New Roman" w:cs="宋体"/>
                <w:szCs w:val="24"/>
                <w:lang w:val="en-US" w:eastAsia="zh-CN"/>
              </w:rPr>
              <w:t xml:space="preserve">1人，</w:t>
            </w:r>
            <w:r>
              <w:rPr>
                <w:rFonts w:hint="eastAsia" w:ascii="Times New Roman" w:hAnsi="Times New Roman" w:cs="宋体"/>
                <w:szCs w:val="24"/>
              </w:rPr>
              <w:t xml:space="preserve">项目经理不得兼任技术负责人）具有高级工程师（电子信息工程专业）或系统集成项目管理工程师证书的，每有1个证书得1分，最高得2分。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3.项目组成员（项目经理及技术负责人除外）具有信息系统项目管理师证书、网络工程师证书、系统集成项目管理工程师证书的，每有1类证书得1分，最高得3分。</w:t>
            </w:r>
            <w:r/>
          </w:p>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注:（1）投标文件中提供相关证书证明材料。（2）投标文件中需提供投标人为其缴纳的自202</w:t>
            </w:r>
            <w:r>
              <w:rPr>
                <w:rFonts w:hint="eastAsia" w:ascii="Times New Roman" w:hAnsi="Times New Roman" w:cs="宋体"/>
                <w:szCs w:val="24"/>
                <w:lang w:val="en-US" w:eastAsia="zh-CN"/>
              </w:rPr>
              <w:t xml:space="preserve">6</w:t>
            </w:r>
            <w:r>
              <w:rPr>
                <w:rFonts w:hint="eastAsia" w:ascii="Times New Roman" w:hAnsi="Times New Roman" w:cs="宋体"/>
                <w:szCs w:val="24"/>
              </w:rPr>
              <w:t xml:space="preserve">年</w:t>
            </w:r>
            <w:r>
              <w:rPr>
                <w:rFonts w:hint="eastAsia" w:ascii="Times New Roman" w:hAnsi="Times New Roman" w:cs="宋体"/>
                <w:szCs w:val="24"/>
                <w:lang w:val="en-US" w:eastAsia="zh-CN"/>
              </w:rPr>
              <w:t xml:space="preserve">2</w:t>
            </w:r>
            <w:r>
              <w:rPr>
                <w:rFonts w:hint="eastAsia" w:ascii="Times New Roman" w:hAnsi="Times New Roman" w:cs="宋体"/>
                <w:szCs w:val="24"/>
              </w:rPr>
              <w:t xml:space="preserve">月（含）以来任意一个月的社保证明材料，未提供或提供材料不符合要求的不得分。（3）除项目经理及技术负责人外，项目组成员中同一人具有多个证书的不重复计分。</w:t>
            </w:r>
            <w:r/>
          </w:p>
        </w:tc>
      </w:tr>
      <w:tr>
        <w:trPr>
          <w:jc w:val="center"/>
          <w:trHeight w:val="855"/>
        </w:trPr>
        <w:tc>
          <w:tcPr>
            <w:tcW w:w="1405"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售后服务</w:t>
            </w:r>
            <w:r/>
          </w:p>
        </w:tc>
        <w:tc>
          <w:tcPr>
            <w:tcW w:w="1114"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jc w:val="left"/>
              <w:spacing w:line="360" w:lineRule="exact"/>
              <w:widowControl/>
              <w:rPr>
                <w:rFonts w:ascii="Times New Roman" w:hAnsi="Times New Roman" w:cs="宋体"/>
                <w:szCs w:val="24"/>
              </w:rPr>
            </w:pPr>
            <w:r>
              <w:rPr>
                <w:rFonts w:hint="eastAsia" w:ascii="Times New Roman" w:hAnsi="Times New Roman" w:cs="宋体"/>
                <w:szCs w:val="24"/>
              </w:rPr>
              <w:t xml:space="preserve">根据投标人提供的售后服务体系、售后服务人员、售后服务承诺、售后服务应答及处理时间，质保期内的售后服务范围、质保期满后的售后服务范围进行评审。优于采购需求得4分；符合采购需求得2.5分；其他情况不得分。</w:t>
            </w:r>
            <w:r/>
          </w:p>
        </w:tc>
      </w:tr>
    </w:tbl>
    <w:p>
      <w:r/>
      <w:r/>
    </w:p>
    <w:p>
      <w:r/>
      <w:r/>
    </w:p>
    <w:p>
      <w:r/>
      <w:r/>
    </w:p>
    <w:p>
      <w:pPr>
        <w:jc w:val="center"/>
        <w:keepLines/>
        <w:keepNext/>
        <w:pageBreakBefore/>
        <w:rPr>
          <w:b/>
          <w:sz w:val="44"/>
          <w:szCs w:val="4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21"/>
      <w:r/>
      <w:bookmarkEnd w:id="124"/>
      <w:r/>
      <w:bookmarkEnd w:id="125"/>
      <w:r/>
      <w:bookmarkEnd w:id="126"/>
      <w:r/>
      <w:bookmarkEnd w:id="127"/>
      <w:r/>
      <w:bookmarkEnd w:id="128"/>
      <w:r/>
      <w:r/>
    </w:p>
    <w:p>
      <w:pPr>
        <w:ind w:firstLine="482"/>
        <w:spacing w:line="480" w:lineRule="exac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p>
      <w:pPr>
        <w:ind w:firstLine="482"/>
        <w:spacing w:line="480" w:lineRule="exact"/>
        <w:rPr>
          <w:rFonts w:hint="eastAsia" w:ascii="宋体" w:hAnsi="宋体"/>
          <w:b/>
          <w:sz w:val="24"/>
          <w:szCs w:val="24"/>
        </w:rPr>
      </w:pPr>
      <w:r>
        <w:rPr>
          <w:rFonts w:hint="eastAsia" w:ascii="宋体" w:hAnsi="宋体"/>
          <w:b/>
          <w:sz w:val="24"/>
          <w:szCs w:val="24"/>
        </w:rPr>
        <w:t xml:space="preserve">采购包1：</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4549"/>
        <w:gridCol w:w="2816"/>
      </w:tblGrid>
      <w:tr>
        <w:trPr>
          <w:cantSplit/>
          <w:jc w:val="center"/>
        </w:trPr>
        <w:tc>
          <w:tcPr>
            <w:tcW w:w="1070"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序号</w:t>
            </w:r>
            <w:r/>
          </w:p>
        </w:tc>
        <w:tc>
          <w:tcPr>
            <w:tcW w:w="4549"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标的</w:t>
            </w:r>
            <w:r/>
          </w:p>
        </w:tc>
        <w:tc>
          <w:tcPr>
            <w:tcW w:w="2816"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对应中</w:t>
            </w:r>
            <w:r>
              <w:rPr>
                <w:rFonts w:ascii="Times New Roman" w:hAnsi="Times New Roman"/>
              </w:rPr>
              <w:t xml:space="preserve">小企业划分标准所属行业</w:t>
            </w:r>
            <w:r/>
          </w:p>
        </w:tc>
      </w:tr>
      <w:tr>
        <w:trPr>
          <w:cantSplit/>
          <w:jc w:val="center"/>
          <w:trHeight w:val="291"/>
        </w:trPr>
        <w:tc>
          <w:tcPr>
            <w:tcW w:w="1070" w:type="dxa"/>
            <w:vAlign w:val="center"/>
            <w:textDirection w:val="lrTb"/>
            <w:noWrap w:val="false"/>
          </w:tcPr>
          <w:p>
            <w:pPr>
              <w:jc w:val="center"/>
              <w:spacing w:line="360" w:lineRule="exact"/>
              <w:rPr>
                <w:rFonts w:ascii="Times New Roman" w:hAnsi="Times New Roman"/>
                <w:szCs w:val="24"/>
              </w:rPr>
            </w:pPr>
            <w:r>
              <w:rPr>
                <w:rFonts w:hint="eastAsia" w:ascii="Times New Roman" w:hAnsi="Times New Roman" w:cs="宋体"/>
                <w:szCs w:val="16"/>
              </w:rPr>
              <w:t xml:space="preserve">1</w:t>
            </w:r>
            <w:r/>
          </w:p>
        </w:tc>
        <w:tc>
          <w:tcPr>
            <w:tcW w:w="4549" w:type="dxa"/>
            <w:vAlign w:val="center"/>
            <w:textDirection w:val="lrTb"/>
            <w:noWrap w:val="false"/>
          </w:tcPr>
          <w:p>
            <w:pPr>
              <w:jc w:val="center"/>
              <w:spacing w:line="360" w:lineRule="exact"/>
              <w:rPr>
                <w:rFonts w:ascii="Times New Roman" w:hAnsi="Times New Roman" w:cs="宋体"/>
                <w:szCs w:val="16"/>
              </w:rPr>
            </w:pPr>
            <w:r>
              <w:rPr>
                <w:rFonts w:hint="eastAsia" w:ascii="Times New Roman" w:hAnsi="Times New Roman" w:cs="宋体"/>
                <w:szCs w:val="16"/>
              </w:rPr>
              <w:t xml:space="preserve">台式计算机（教师机）</w:t>
            </w:r>
            <w:r/>
          </w:p>
        </w:tc>
        <w:tc>
          <w:tcPr>
            <w:tcW w:w="2816" w:type="dxa"/>
            <w:vAlign w:val="center"/>
            <w:textDirection w:val="lrTb"/>
            <w:noWrap w:val="false"/>
          </w:tcPr>
          <w:p>
            <w:pPr>
              <w:ind w:firstLine="420"/>
              <w:jc w:val="center"/>
              <w:spacing w:line="360" w:lineRule="exact"/>
              <w:rPr>
                <w:rFonts w:ascii="Times New Roman" w:hAnsi="Times New Roman"/>
                <w:szCs w:val="24"/>
              </w:rPr>
            </w:pPr>
            <w:r>
              <w:rPr>
                <w:rFonts w:hint="eastAsia" w:ascii="Times New Roman" w:hAnsi="Times New Roman"/>
                <w:szCs w:val="24"/>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ascii="Times New Roman" w:hAnsi="Times New Roman"/>
                <w:szCs w:val="24"/>
              </w:rPr>
            </w:pPr>
            <w:r>
              <w:rPr>
                <w:rFonts w:hint="eastAsia" w:ascii="Times New Roman" w:hAnsi="Times New Roman" w:cs="宋体"/>
                <w:szCs w:val="16"/>
              </w:rPr>
              <w:t xml:space="preserve">2</w:t>
            </w:r>
            <w:r/>
          </w:p>
        </w:tc>
        <w:tc>
          <w:tcPr>
            <w:tcW w:w="4549" w:type="dxa"/>
            <w:vAlign w:val="center"/>
            <w:textDirection w:val="lrTb"/>
            <w:noWrap w:val="false"/>
          </w:tcPr>
          <w:p>
            <w:pPr>
              <w:jc w:val="center"/>
              <w:spacing w:line="360" w:lineRule="exact"/>
              <w:rPr>
                <w:rFonts w:ascii="Times New Roman" w:hAnsi="Times New Roman" w:cs="宋体"/>
                <w:szCs w:val="16"/>
              </w:rPr>
            </w:pPr>
            <w:r>
              <w:rPr>
                <w:rFonts w:hint="eastAsia" w:ascii="Times New Roman" w:hAnsi="Times New Roman" w:cs="宋体"/>
                <w:szCs w:val="16"/>
              </w:rPr>
              <w:t xml:space="preserve">台式计算机（学生机）</w:t>
            </w:r>
            <w:r/>
          </w:p>
        </w:tc>
        <w:tc>
          <w:tcPr>
            <w:tcW w:w="2816" w:type="dxa"/>
            <w:vAlign w:val="center"/>
            <w:textDirection w:val="lrTb"/>
            <w:noWrap w:val="false"/>
          </w:tcPr>
          <w:p>
            <w:pPr>
              <w:ind w:firstLine="420"/>
              <w:jc w:val="center"/>
              <w:spacing w:line="360" w:lineRule="exact"/>
              <w:rPr>
                <w:rFonts w:ascii="Times New Roman" w:hAnsi="Times New Roman"/>
                <w:szCs w:val="24"/>
              </w:rPr>
            </w:pPr>
            <w:r>
              <w:rPr>
                <w:rFonts w:hint="eastAsia" w:ascii="Times New Roman" w:hAnsi="Times New Roman"/>
                <w:szCs w:val="24"/>
              </w:rPr>
              <w:t xml:space="preserve">工业（制造业）</w:t>
            </w:r>
            <w:r/>
          </w:p>
        </w:tc>
      </w:tr>
    </w:tbl>
    <w:p>
      <w:pPr>
        <w:ind w:firstLine="482"/>
        <w:spacing w:line="480" w:lineRule="exact"/>
        <w:rPr>
          <w:rFonts w:hint="eastAsia" w:ascii="宋体" w:hAnsi="宋体"/>
          <w:b/>
          <w:sz w:val="24"/>
          <w:szCs w:val="24"/>
        </w:rPr>
      </w:pPr>
      <w:r>
        <w:rPr>
          <w:rFonts w:hint="eastAsia" w:ascii="宋体" w:hAnsi="宋体"/>
          <w:b/>
          <w:sz w:val="24"/>
          <w:szCs w:val="24"/>
        </w:rPr>
        <w:t xml:space="preserve">采购包2：</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4549"/>
        <w:gridCol w:w="2816"/>
      </w:tblGrid>
      <w:tr>
        <w:trPr>
          <w:cantSplit/>
          <w:jc w:val="center"/>
        </w:trPr>
        <w:tc>
          <w:tcPr>
            <w:tcW w:w="1070"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序号</w:t>
            </w:r>
            <w:r/>
          </w:p>
        </w:tc>
        <w:tc>
          <w:tcPr>
            <w:tcW w:w="4549"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标的</w:t>
            </w:r>
            <w:r/>
          </w:p>
        </w:tc>
        <w:tc>
          <w:tcPr>
            <w:tcW w:w="2816" w:type="dxa"/>
            <w:vAlign w:val="center"/>
            <w:textDirection w:val="lrTb"/>
            <w:noWrap w:val="false"/>
          </w:tcPr>
          <w:p>
            <w:pPr>
              <w:jc w:val="center"/>
              <w:spacing w:line="360" w:lineRule="exact"/>
              <w:rPr>
                <w:rFonts w:ascii="Times New Roman" w:hAnsi="Times New Roman"/>
              </w:rPr>
            </w:pPr>
            <w:r>
              <w:rPr>
                <w:rFonts w:hint="eastAsia" w:ascii="Times New Roman" w:hAnsi="Times New Roman"/>
              </w:rPr>
              <w:t xml:space="preserve">对应中</w:t>
            </w:r>
            <w:r>
              <w:rPr>
                <w:rFonts w:ascii="Times New Roman" w:hAnsi="Times New Roman"/>
              </w:rPr>
              <w:t xml:space="preserve">小企业划分标准所属行业</w:t>
            </w:r>
            <w:r/>
          </w:p>
        </w:tc>
      </w:tr>
      <w:tr>
        <w:trPr>
          <w:cantSplit/>
          <w:jc w:val="center"/>
          <w:trHeight w:val="390"/>
        </w:trPr>
        <w:tc>
          <w:tcPr>
            <w:tcW w:w="1070" w:type="dxa"/>
            <w:vAlign w:val="center"/>
            <w:textDirection w:val="lrTb"/>
            <w:noWrap w:val="false"/>
          </w:tcPr>
          <w:p>
            <w:pPr>
              <w:jc w:val="center"/>
              <w:spacing w:line="360" w:lineRule="exact"/>
              <w:rPr>
                <w:rFonts w:ascii="Times New Roman" w:hAnsi="Times New Roman"/>
              </w:rPr>
            </w:pPr>
            <w:r>
              <w:t xml:space="preserve">1</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防火墙</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ascii="Times New Roman" w:hAnsi="Times New Roman"/>
              </w:rPr>
            </w:pPr>
            <w:r>
              <w:t xml:space="preserve">2</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日志审计</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eastAsia="宋体"/>
                <w:lang w:val="en-US" w:eastAsia="zh-CN"/>
              </w:rPr>
            </w:pPr>
            <w:r>
              <w:rPr>
                <w:rFonts w:hint="eastAsia"/>
                <w:lang w:val="en-US" w:eastAsia="zh-CN"/>
              </w:rPr>
              <w:t xml:space="preserve">3</w:t>
            </w:r>
            <w:r/>
          </w:p>
        </w:tc>
        <w:tc>
          <w:tcPr>
            <w:tcW w:w="4549" w:type="dxa"/>
            <w:vAlign w:val="center"/>
            <w:textDirection w:val="lrTb"/>
            <w:noWrap w:val="false"/>
          </w:tcPr>
          <w:p>
            <w:pPr>
              <w:jc w:val="center"/>
              <w:spacing w:line="360" w:lineRule="exact"/>
              <w:rPr>
                <w:rFonts w:hint="eastAsia" w:ascii="Times New Roman" w:hAnsi="Times New Roman" w:eastAsia="宋体" w:cs="宋体"/>
                <w:lang w:val="en-US" w:eastAsia="zh-CN"/>
              </w:rPr>
            </w:pPr>
            <w:r>
              <w:rPr>
                <w:rFonts w:hint="eastAsia" w:ascii="Times New Roman" w:hAnsi="Times New Roman" w:cs="宋体"/>
                <w:lang w:val="en-US" w:eastAsia="zh-CN"/>
              </w:rPr>
              <w:t xml:space="preserve">杀毒软件</w:t>
            </w:r>
            <w:r/>
          </w:p>
        </w:tc>
        <w:tc>
          <w:tcPr>
            <w:tcW w:w="2816" w:type="dxa"/>
            <w:vAlign w:val="center"/>
            <w:textDirection w:val="lrTb"/>
            <w:noWrap w:val="false"/>
          </w:tcPr>
          <w:p>
            <w:pPr>
              <w:ind w:firstLine="420"/>
              <w:jc w:val="center"/>
              <w:spacing w:line="360" w:lineRule="exact"/>
              <w:rPr>
                <w:rFonts w:hint="eastAsia" w:ascii="Times New Roman" w:hAnsi="Times New Roman" w:eastAsia="宋体"/>
                <w:color w:val="ff0000"/>
              </w:rPr>
            </w:pPr>
            <w:r>
              <w:rPr>
                <w:rFonts w:hint="eastAsia" w:ascii="Times New Roman" w:hAnsi="Times New Roman"/>
                <w:color w:val="ff0000"/>
                <w:lang w:val="en-US" w:eastAsia="zh-CN"/>
              </w:rPr>
              <w:t xml:space="preserve">零售业</w:t>
            </w:r>
            <w:r>
              <w:rPr>
                <w:color w:val="ff0000"/>
              </w:rP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rPr>
                <w:rFonts w:hint="eastAsia"/>
                <w:lang w:val="en-US" w:eastAsia="zh-CN"/>
              </w:rPr>
              <w:t xml:space="preserve">4</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服务器1</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rPr>
                <w:rFonts w:hint="eastAsia"/>
                <w:lang w:val="en-US" w:eastAsia="zh-CN"/>
              </w:rPr>
              <w:t xml:space="preserve">5</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服务器2</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rPr>
                <w:rFonts w:hint="eastAsia"/>
                <w:lang w:val="en-US" w:eastAsia="zh-CN"/>
              </w:rPr>
              <w:t xml:space="preserve">6</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服务器3</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rPr>
                <w:rFonts w:hint="eastAsia"/>
                <w:lang w:val="en-US" w:eastAsia="zh-CN"/>
              </w:rPr>
              <w:t xml:space="preserve">7</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监控服务器</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rPr>
                <w:rFonts w:hint="eastAsia"/>
                <w:lang w:val="en-US" w:eastAsia="zh-CN"/>
              </w:rPr>
              <w:t xml:space="preserve">8</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听力考试保障系统UPS</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rPr>
                <w:rFonts w:hint="eastAsia"/>
                <w:lang w:val="en-US" w:eastAsia="zh-CN"/>
              </w:rPr>
              <w:t xml:space="preserve">9</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UPS输出柜1</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10</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模块化UPS柜</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11</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UPS输出柜2</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12</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UPS主机</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13</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触控一体机（86寸智能会议平板）</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14</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PC模块</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cs="宋体"/>
                <w:lang w:val="en-US" w:eastAsia="zh-CN"/>
              </w:rPr>
            </w:pPr>
            <w:r>
              <w:rPr>
                <w:rFonts w:hint="eastAsia"/>
                <w:lang w:val="en-US" w:eastAsia="zh-CN"/>
              </w:rPr>
              <w:t xml:space="preserve">15</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宋体" w:hAnsi="宋体" w:cs="宋体"/>
                <w:sz w:val="20"/>
                <w:szCs w:val="20"/>
              </w:rPr>
              <w:t xml:space="preserve">移动支架</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16</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触控一体机（含OPS）</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17</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推拉绿板</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18</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激光打印机</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19</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A3速印机</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20</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数码速印机</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21</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多功能复印机</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22</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专业会议话筒</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23</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话筒处理器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375"/>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24</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演讲会议麦克风</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25</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调音台</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375"/>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26</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数字音频处理器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27</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数字音频处理软件</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28</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12寸主扩全频音箱（含音箱架）</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29</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12寸主扩全频音箱功放</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30</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10寸辅助音箱（含音箱架）</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31</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10寸辅助音箱功放</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32</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流动返听音箱</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33</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流动返听音箱功放</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34</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有源监听音箱</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35</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均衡器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36</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无线腰包话筒</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37</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无线手持式话筒</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38</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天线分配器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39</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天线放大器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40</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电源时序器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41</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智能音视频一体机</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42</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AI智能自动增益器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43</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音柱音箱（含壁挂架）</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44</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吸顶音箱</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45</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智能音频主机</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46</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主扩全频音箱（含音箱壁挂架）</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4</w:t>
            </w:r>
            <w:r>
              <w:rPr>
                <w:rFonts w:hint="eastAsia"/>
                <w:lang w:val="en-US" w:eastAsia="zh-CN"/>
              </w:rPr>
              <w:t xml:space="preserve">7</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主扩全频音箱功放</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4</w:t>
            </w:r>
            <w:r>
              <w:rPr>
                <w:rFonts w:hint="eastAsia"/>
                <w:lang w:val="en-US" w:eastAsia="zh-CN"/>
              </w:rPr>
              <w:t xml:space="preserve">8</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辅助全频音箱（含音箱壁挂架）</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49</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辅助全频音箱功放</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50</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返听音箱（含音箱壁挂架）</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1</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返听音箱功放</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2</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LED全彩屏（图书馆一层报告厅及二层）</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3</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LED全彩屏（图书馆四层党员会议室）</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val="en-US" w:eastAsia="zh-CN"/>
              </w:rPr>
            </w:pPr>
            <w:r>
              <w:t xml:space="preserve">5</w:t>
            </w:r>
            <w:r>
              <w:rPr>
                <w:rFonts w:hint="eastAsia"/>
                <w:lang w:val="en-US" w:eastAsia="zh-CN"/>
              </w:rPr>
              <w:t xml:space="preserve">4</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LED全彩屏体（综合楼一层合班教室2间）</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5</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LED全彩屏体（图书馆四层小会议室（共计3间））</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6</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室外LED全彩屏（室外门口）</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7</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空调</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8</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返看屏幕（电视）</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5</w:t>
            </w:r>
            <w:r>
              <w:rPr>
                <w:rFonts w:hint="eastAsia"/>
                <w:lang w:val="en-US" w:eastAsia="zh-CN"/>
              </w:rPr>
              <w:t xml:space="preserve">9</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液晶显示器</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60</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46寸拼接屏（配套支架底座）</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default" w:ascii="Times New Roman" w:hAnsi="Times New Roman" w:eastAsia="宋体"/>
                <w:lang w:val="en-US" w:eastAsia="zh-CN"/>
              </w:rPr>
            </w:pPr>
            <w:r>
              <w:rPr>
                <w:rFonts w:hint="eastAsia"/>
                <w:lang w:val="en-US" w:eastAsia="zh-CN"/>
              </w:rPr>
              <w:t xml:space="preserve">61</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操作台</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6</w:t>
            </w:r>
            <w:r>
              <w:rPr>
                <w:rFonts w:hint="eastAsia"/>
                <w:lang w:val="en-US" w:eastAsia="zh-CN"/>
              </w:rPr>
              <w:t xml:space="preserve">2</w:t>
            </w:r>
            <w:r/>
          </w:p>
        </w:tc>
        <w:tc>
          <w:tcPr>
            <w:tcW w:w="4549"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55寸LCD拼接屏/液晶拼接监视屏（配套支架底座）</w:t>
            </w:r>
            <w:r/>
          </w:p>
        </w:tc>
        <w:tc>
          <w:tcPr>
            <w:tcW w:w="2816" w:type="dxa"/>
            <w:vAlign w:val="center"/>
            <w:textDirection w:val="lrTb"/>
            <w:noWrap w:val="false"/>
          </w:tcPr>
          <w:p>
            <w:pPr>
              <w:jc w:val="center"/>
              <w:spacing w:line="360" w:lineRule="exact"/>
              <w:rPr>
                <w:rFonts w:hint="eastAsia" w:ascii="Times New Roman" w:hAnsi="Times New Roman" w:cs="宋体"/>
              </w:rPr>
            </w:pPr>
            <w:r>
              <w:rPr>
                <w:rFonts w:hint="eastAsia" w:ascii="Times New Roman" w:hAnsi="Times New Roman" w:cs="宋体"/>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6</w:t>
            </w:r>
            <w:r>
              <w:rPr>
                <w:rFonts w:hint="eastAsia"/>
                <w:lang w:val="en-US" w:eastAsia="zh-CN"/>
              </w:rPr>
              <w:t xml:space="preserve">3</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观摩室屏幕（电视）</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r>
        <w:trPr>
          <w:cantSplit/>
          <w:jc w:val="center"/>
          <w:trHeight w:val="291"/>
        </w:trPr>
        <w:tc>
          <w:tcPr>
            <w:tcW w:w="1070" w:type="dxa"/>
            <w:vAlign w:val="center"/>
            <w:textDirection w:val="lrTb"/>
            <w:noWrap w:val="false"/>
          </w:tcPr>
          <w:p>
            <w:pPr>
              <w:jc w:val="center"/>
              <w:spacing w:line="360" w:lineRule="exact"/>
              <w:rPr>
                <w:rFonts w:hint="eastAsia" w:ascii="Times New Roman" w:hAnsi="Times New Roman" w:eastAsia="宋体"/>
                <w:lang w:eastAsia="zh-CN"/>
              </w:rPr>
            </w:pPr>
            <w:r>
              <w:t xml:space="preserve">6</w:t>
            </w:r>
            <w:r>
              <w:rPr>
                <w:rFonts w:hint="eastAsia"/>
                <w:lang w:val="en-US" w:eastAsia="zh-CN"/>
              </w:rPr>
              <w:t xml:space="preserve">4</w:t>
            </w:r>
            <w:r/>
          </w:p>
        </w:tc>
        <w:tc>
          <w:tcPr>
            <w:tcW w:w="4549" w:type="dxa"/>
            <w:vAlign w:val="center"/>
            <w:textDirection w:val="lrTb"/>
            <w:noWrap w:val="false"/>
          </w:tcPr>
          <w:p>
            <w:pPr>
              <w:jc w:val="center"/>
              <w:spacing w:line="360" w:lineRule="exact"/>
              <w:rPr>
                <w:rFonts w:ascii="Times New Roman" w:hAnsi="Times New Roman" w:cs="宋体"/>
              </w:rPr>
            </w:pPr>
            <w:r>
              <w:rPr>
                <w:rFonts w:hint="eastAsia" w:ascii="Times New Roman" w:hAnsi="Times New Roman" w:cs="宋体"/>
              </w:rPr>
              <w:t xml:space="preserve">4K液晶显示器</w:t>
            </w:r>
            <w:r/>
          </w:p>
        </w:tc>
        <w:tc>
          <w:tcPr>
            <w:tcW w:w="2816" w:type="dxa"/>
            <w:vAlign w:val="center"/>
            <w:textDirection w:val="lrTb"/>
            <w:noWrap w:val="false"/>
          </w:tcPr>
          <w:p>
            <w:pPr>
              <w:ind w:firstLine="420"/>
              <w:jc w:val="center"/>
              <w:spacing w:line="360" w:lineRule="exact"/>
              <w:rPr>
                <w:rFonts w:ascii="Times New Roman" w:hAnsi="Times New Roman"/>
              </w:rPr>
            </w:pPr>
            <w:r>
              <w:rPr>
                <w:rFonts w:hint="eastAsia" w:ascii="Times New Roman" w:hAnsi="Times New Roman"/>
              </w:rPr>
              <w:t xml:space="preserve">工业（制造业）</w:t>
            </w:r>
            <w:r/>
          </w:p>
        </w:tc>
      </w:tr>
    </w:tbl>
    <w:p>
      <w:pPr>
        <w:ind w:firstLine="482"/>
        <w:spacing w:line="400" w:lineRule="exact"/>
        <w:rPr>
          <w:rFonts w:hint="eastAsia" w:ascii="宋体" w:hAnsi="宋体"/>
          <w:b/>
          <w:sz w:val="24"/>
          <w:szCs w:val="24"/>
        </w:rPr>
      </w:pPr>
      <w:r>
        <w:rPr>
          <w:rFonts w:hint="eastAsia" w:ascii="宋体" w:hAnsi="宋体"/>
          <w:b/>
          <w:sz w:val="24"/>
          <w:szCs w:val="24"/>
        </w:rPr>
        <w:t xml:space="preserve">二、采购物品明细表</w:t>
      </w:r>
      <w:r/>
    </w:p>
    <w:p>
      <w:pPr>
        <w:ind w:firstLine="482"/>
        <w:spacing w:line="400" w:lineRule="exact"/>
        <w:rPr>
          <w:rFonts w:hint="eastAsia" w:ascii="宋体" w:hAnsi="宋体"/>
          <w:b/>
          <w:sz w:val="24"/>
          <w:szCs w:val="24"/>
        </w:rPr>
      </w:pPr>
      <w:r>
        <w:rPr>
          <w:rFonts w:hint="eastAsia" w:ascii="宋体" w:hAnsi="宋体"/>
          <w:b/>
          <w:sz w:val="24"/>
          <w:szCs w:val="24"/>
        </w:rPr>
        <w:t xml:space="preserve">采购包1：</w:t>
      </w:r>
      <w:r/>
    </w:p>
    <w:tbl>
      <w:tblPr>
        <w:tblStyle w:val="791"/>
        <w:tblW w:w="4403" w:type="pct"/>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896"/>
        <w:gridCol w:w="1209"/>
        <w:gridCol w:w="1050"/>
        <w:gridCol w:w="1050"/>
      </w:tblGrid>
      <w:tr>
        <w:trPr>
          <w:trHeight w:val="270"/>
        </w:trPr>
        <w:tc>
          <w:tcPr>
            <w:tcW w:w="648"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序号</w:t>
            </w:r>
            <w:r/>
          </w:p>
        </w:tc>
        <w:tc>
          <w:tcPr>
            <w:tcW w:w="2353"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设备名称</w:t>
            </w:r>
            <w:r/>
          </w:p>
        </w:tc>
        <w:tc>
          <w:tcPr>
            <w:tcW w:w="730"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单位</w:t>
            </w:r>
            <w:r/>
          </w:p>
        </w:tc>
        <w:tc>
          <w:tcPr>
            <w:tcW w:w="63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数量</w:t>
            </w:r>
            <w:r/>
          </w:p>
        </w:tc>
        <w:tc>
          <w:tcPr>
            <w:tcW w:w="63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是否核心产品</w:t>
            </w:r>
            <w:r/>
          </w:p>
        </w:tc>
      </w:tr>
      <w:tr>
        <w:trPr>
          <w:trHeight w:val="270"/>
        </w:trPr>
        <w:tc>
          <w:tcPr>
            <w:tcW w:w="648"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235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台式计算机（教师机）</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31</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8" w:type="pct"/>
            <w:vAlign w:val="center"/>
            <w:textDirection w:val="lrTb"/>
            <w:noWrap/>
          </w:tcPr>
          <w:p>
            <w:pPr>
              <w:jc w:val="center"/>
              <w:rPr>
                <w:rFonts w:ascii="Times New Roman" w:hAnsi="Times New Roman" w:cs="宋体"/>
                <w:b/>
                <w:bCs/>
                <w:szCs w:val="16"/>
              </w:rPr>
            </w:pPr>
            <w:r>
              <w:rPr>
                <w:rFonts w:hint="eastAsia" w:ascii="Times New Roman" w:hAnsi="Times New Roman" w:cs="宋体"/>
                <w:b/>
                <w:bCs/>
                <w:szCs w:val="16"/>
              </w:rPr>
              <w:t xml:space="preserve">2</w:t>
            </w:r>
            <w:r/>
          </w:p>
        </w:tc>
        <w:tc>
          <w:tcPr>
            <w:tcW w:w="2353"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台式计算机（学生机）</w:t>
            </w:r>
            <w:r/>
          </w:p>
        </w:tc>
        <w:tc>
          <w:tcPr>
            <w:tcW w:w="730"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台</w:t>
            </w:r>
            <w:r/>
          </w:p>
        </w:tc>
        <w:tc>
          <w:tcPr>
            <w:tcW w:w="63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384</w:t>
            </w:r>
            <w:r/>
          </w:p>
        </w:tc>
        <w:tc>
          <w:tcPr>
            <w:tcW w:w="63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是</w:t>
            </w:r>
            <w:r/>
          </w:p>
        </w:tc>
      </w:tr>
    </w:tbl>
    <w:p>
      <w:pPr>
        <w:ind w:firstLine="482"/>
        <w:spacing w:line="400" w:lineRule="exact"/>
        <w:rPr>
          <w:rFonts w:hint="eastAsia" w:ascii="宋体" w:hAnsi="宋体"/>
          <w:b/>
          <w:sz w:val="24"/>
          <w:szCs w:val="24"/>
        </w:rPr>
      </w:pPr>
      <w:r>
        <w:rPr>
          <w:rFonts w:hint="eastAsia" w:ascii="宋体" w:hAnsi="宋体"/>
          <w:b/>
          <w:sz w:val="24"/>
          <w:szCs w:val="24"/>
        </w:rPr>
        <w:t xml:space="preserve">采购包2：</w:t>
      </w:r>
      <w:r/>
    </w:p>
    <w:tbl>
      <w:tblPr>
        <w:tblStyle w:val="791"/>
        <w:tblW w:w="4403" w:type="pct"/>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3897"/>
        <w:gridCol w:w="1209"/>
        <w:gridCol w:w="1050"/>
        <w:gridCol w:w="1048"/>
      </w:tblGrid>
      <w:tr>
        <w:trPr>
          <w:trHeight w:val="270"/>
        </w:trPr>
        <w:tc>
          <w:tcPr>
            <w:tcW w:w="649" w:type="pct"/>
            <w:vAlign w:val="center"/>
            <w:textDirection w:val="lrTb"/>
            <w:noWrap w:val="false"/>
          </w:tcPr>
          <w:p>
            <w:pPr>
              <w:jc w:val="center"/>
              <w:rPr>
                <w:rFonts w:ascii="Times New Roman" w:hAnsi="Times New Roman" w:cs="宋体"/>
                <w:b/>
                <w:bCs/>
                <w:szCs w:val="16"/>
              </w:rPr>
            </w:pPr>
            <w:r>
              <w:rPr>
                <w:rFonts w:hint="eastAsia" w:ascii="Times New Roman" w:hAnsi="Times New Roman"/>
                <w:b/>
                <w:bCs/>
              </w:rPr>
              <w:t xml:space="preserve">序号</w:t>
            </w:r>
            <w:r/>
          </w:p>
        </w:tc>
        <w:tc>
          <w:tcPr>
            <w:tcW w:w="235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设备名称</w:t>
            </w:r>
            <w:r/>
          </w:p>
        </w:tc>
        <w:tc>
          <w:tcPr>
            <w:tcW w:w="730"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单位</w:t>
            </w:r>
            <w:r/>
          </w:p>
        </w:tc>
        <w:tc>
          <w:tcPr>
            <w:tcW w:w="63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数量</w:t>
            </w:r>
            <w:r/>
          </w:p>
        </w:tc>
        <w:tc>
          <w:tcPr>
            <w:tcW w:w="633"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是否核心产品</w:t>
            </w:r>
            <w:r/>
          </w:p>
        </w:tc>
      </w:tr>
      <w:tr>
        <w:trPr>
          <w:trHeight w:val="270"/>
        </w:trPr>
        <w:tc>
          <w:tcPr>
            <w:tcW w:w="649" w:type="pct"/>
            <w:vAlign w:val="center"/>
            <w:textDirection w:val="lrTb"/>
            <w:noWrap w:val="false"/>
          </w:tcPr>
          <w:p>
            <w:pPr>
              <w:jc w:val="center"/>
              <w:rPr>
                <w:rFonts w:ascii="Times New Roman" w:hAnsi="Times New Roman" w:cs="宋体"/>
              </w:rPr>
            </w:pPr>
            <w:r>
              <w:t xml:space="preserve">1</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防火墙</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日志审计</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杀毒软件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套</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服务器1</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服务器2</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6</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服务器3</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7</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监控服务器</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8</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听力考试保障系统UPS</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9</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UPS输出柜1</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10</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模块化UPS柜</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11</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UPS输出柜2</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12</w:t>
            </w:r>
            <w:r/>
          </w:p>
        </w:tc>
        <w:tc>
          <w:tcPr>
            <w:tcW w:w="235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UPS主机</w:t>
            </w:r>
            <w:r/>
          </w:p>
        </w:tc>
        <w:tc>
          <w:tcPr>
            <w:tcW w:w="730"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套</w:t>
            </w:r>
            <w:r/>
          </w:p>
        </w:tc>
        <w:tc>
          <w:tcPr>
            <w:tcW w:w="63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13</w:t>
            </w:r>
            <w:r/>
          </w:p>
        </w:tc>
        <w:tc>
          <w:tcPr>
            <w:tcW w:w="235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触控一体机（86寸智能会议平板）</w:t>
            </w:r>
            <w:r/>
          </w:p>
        </w:tc>
        <w:tc>
          <w:tcPr>
            <w:tcW w:w="730"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14</w:t>
            </w:r>
            <w:r/>
          </w:p>
        </w:tc>
        <w:tc>
          <w:tcPr>
            <w:tcW w:w="235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PC模块</w:t>
            </w:r>
            <w:r/>
          </w:p>
        </w:tc>
        <w:tc>
          <w:tcPr>
            <w:tcW w:w="730"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highlight w:val="cyan"/>
              </w:rPr>
            </w:pPr>
            <w:r>
              <w:t xml:space="preserve">15</w:t>
            </w:r>
            <w:r/>
          </w:p>
        </w:tc>
        <w:tc>
          <w:tcPr>
            <w:tcW w:w="235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移动支架</w:t>
            </w:r>
            <w:r/>
          </w:p>
        </w:tc>
        <w:tc>
          <w:tcPr>
            <w:tcW w:w="730"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3</w:t>
            </w:r>
            <w:r/>
          </w:p>
        </w:tc>
        <w:tc>
          <w:tcPr>
            <w:tcW w:w="633"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16</w:t>
            </w:r>
            <w:r/>
          </w:p>
        </w:tc>
        <w:tc>
          <w:tcPr>
            <w:tcW w:w="235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触控一体机（含OPS）</w:t>
            </w:r>
            <w:r/>
          </w:p>
        </w:tc>
        <w:tc>
          <w:tcPr>
            <w:tcW w:w="730"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台</w:t>
            </w:r>
            <w:r/>
          </w:p>
        </w:tc>
        <w:tc>
          <w:tcPr>
            <w:tcW w:w="634"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111</w:t>
            </w:r>
            <w:r/>
          </w:p>
        </w:tc>
        <w:tc>
          <w:tcPr>
            <w:tcW w:w="633" w:type="pct"/>
            <w:vAlign w:val="center"/>
            <w:textDirection w:val="lrTb"/>
            <w:noWrap w:val="false"/>
          </w:tcPr>
          <w:p>
            <w:pPr>
              <w:jc w:val="center"/>
              <w:rPr>
                <w:rFonts w:ascii="Times New Roman" w:hAnsi="Times New Roman" w:cs="宋体"/>
                <w:b/>
                <w:bCs/>
                <w:szCs w:val="16"/>
              </w:rPr>
            </w:pPr>
            <w:r>
              <w:rPr>
                <w:rFonts w:hint="eastAsia" w:ascii="Times New Roman" w:hAnsi="Times New Roman" w:cs="宋体"/>
                <w:b/>
                <w:bCs/>
                <w:szCs w:val="16"/>
              </w:rPr>
              <w:t xml:space="preserve">是</w:t>
            </w:r>
            <w:r/>
          </w:p>
        </w:tc>
      </w:tr>
      <w:tr>
        <w:trPr>
          <w:trHeight w:val="270"/>
        </w:trPr>
        <w:tc>
          <w:tcPr>
            <w:tcW w:w="649" w:type="pct"/>
            <w:vAlign w:val="center"/>
            <w:textDirection w:val="lrTb"/>
            <w:noWrap w:val="false"/>
          </w:tcPr>
          <w:p>
            <w:pPr>
              <w:jc w:val="center"/>
              <w:rPr>
                <w:rFonts w:ascii="Times New Roman" w:hAnsi="Times New Roman" w:cs="宋体"/>
              </w:rPr>
            </w:pPr>
            <w:r>
              <w:t xml:space="preserve">17</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推拉绿板</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套</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111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18</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激光打印机</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10</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19</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A3速印机</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20</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数码速印机</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21</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多功能复印机</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22</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专业会议话筒</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23</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话筒处理器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3</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24</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演讲会议麦克风</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25</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调音台</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26</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数字音频处理器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27</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数字音频处理软件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套</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28</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12寸主扩全频音箱（含音箱架）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29</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12寸主扩全频音箱功放</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30</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10寸辅助音箱（含音箱架）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8</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31</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10寸辅助音箱功放</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32</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流动返听音箱</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33</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流动返听音箱功放</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34</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有源监听音箱</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对</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35</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均衡器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36</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无线腰包话筒</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套</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3</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37</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无线手持式话筒</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套</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5</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38</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天线分配器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39</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天线放大器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对</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40</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电源时序器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9</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41</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智能音视频一体机</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42</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AI智能自动增益器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3</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43</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音柱音箱（含壁挂架）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44</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吸顶音箱</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8</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45</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智能音频主机</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46</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主扩全频音箱（含音箱壁挂架）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47</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主扩全频音箱功放</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48</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辅助全频音箱（含音箱壁挂架）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49</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辅助全频音箱功放</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50</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返听音箱（含音箱壁挂架）</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只</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51</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返听音箱功放</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52</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LED全彩屏（图书馆一层报告厅及二层）</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项</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53</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LED全彩屏（图书馆四层党员会议室）</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项</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54</w:t>
            </w:r>
            <w:r/>
          </w:p>
        </w:tc>
        <w:tc>
          <w:tcPr>
            <w:tcW w:w="235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LED全彩屏（综合楼一层合班教室2间）</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项</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480"/>
        </w:trPr>
        <w:tc>
          <w:tcPr>
            <w:tcW w:w="649" w:type="pct"/>
            <w:vAlign w:val="center"/>
            <w:textDirection w:val="lrTb"/>
            <w:noWrap w:val="false"/>
          </w:tcPr>
          <w:p>
            <w:pPr>
              <w:jc w:val="center"/>
              <w:rPr>
                <w:rFonts w:ascii="Times New Roman" w:hAnsi="Times New Roman" w:cs="宋体"/>
              </w:rPr>
            </w:pPr>
            <w:r>
              <w:t xml:space="preserve">55</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LED全彩屏（图书馆四层小会议室（共计3间））</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项</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56</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室外LED全彩屏（室外门口）</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项</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57</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空调</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58</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返看屏幕</w:t>
            </w:r>
            <w:r>
              <w:rPr>
                <w:rFonts w:hint="eastAsia" w:ascii="Times New Roman" w:hAnsi="Times New Roman" w:cs="宋体"/>
              </w:rPr>
              <w:t xml:space="preserve">（电视）</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59</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液晶显示器</w:t>
            </w:r>
            <w:r/>
          </w:p>
        </w:tc>
        <w:tc>
          <w:tcPr>
            <w:tcW w:w="730"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60</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46寸拼接屏（配套支架底座）</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8</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ascii="Times New Roman" w:hAnsi="Times New Roman" w:cs="宋体"/>
              </w:rPr>
            </w:pPr>
            <w:r>
              <w:t xml:space="preserve">61</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操作台</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套</w:t>
            </w:r>
            <w:r/>
          </w:p>
        </w:tc>
        <w:tc>
          <w:tcPr>
            <w:tcW w:w="634"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6</w:t>
            </w:r>
            <w:r/>
          </w:p>
        </w:tc>
        <w:tc>
          <w:tcPr>
            <w:tcW w:w="633" w:type="pct"/>
            <w:vAlign w:val="center"/>
            <w:textDirection w:val="lrTb"/>
            <w:noWrap/>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480"/>
        </w:trPr>
        <w:tc>
          <w:tcPr>
            <w:tcW w:w="649" w:type="pct"/>
            <w:vAlign w:val="center"/>
            <w:textDirection w:val="lrTb"/>
            <w:noWrap w:val="false"/>
          </w:tcPr>
          <w:p>
            <w:pPr>
              <w:jc w:val="center"/>
              <w:rPr>
                <w:rFonts w:ascii="Times New Roman" w:hAnsi="Times New Roman" w:cs="宋体"/>
              </w:rPr>
            </w:pPr>
            <w:r>
              <w:t xml:space="preserve">62</w:t>
            </w:r>
            <w:r/>
          </w:p>
        </w:tc>
        <w:tc>
          <w:tcPr>
            <w:tcW w:w="235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55寸LCD拼接屏/液晶拼接监视屏（配套支架底座）</w:t>
            </w:r>
            <w:r/>
          </w:p>
        </w:tc>
        <w:tc>
          <w:tcPr>
            <w:tcW w:w="730"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26</w:t>
            </w:r>
            <w:r/>
          </w:p>
        </w:tc>
        <w:tc>
          <w:tcPr>
            <w:tcW w:w="633" w:type="pct"/>
            <w:vAlign w:val="center"/>
            <w:textDirection w:val="lrTb"/>
            <w:noWrap w:val="false"/>
          </w:tcPr>
          <w:p>
            <w:pPr>
              <w:jc w:val="center"/>
              <w:rPr>
                <w:rFonts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63</w:t>
            </w:r>
            <w:r/>
          </w:p>
        </w:tc>
        <w:tc>
          <w:tcPr>
            <w:tcW w:w="235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观摩室屏幕（电视）</w:t>
            </w:r>
            <w:r/>
          </w:p>
        </w:tc>
        <w:tc>
          <w:tcPr>
            <w:tcW w:w="730"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4</w:t>
            </w:r>
            <w:r/>
          </w:p>
        </w:tc>
        <w:tc>
          <w:tcPr>
            <w:tcW w:w="633"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64</w:t>
            </w:r>
            <w:r/>
          </w:p>
        </w:tc>
        <w:tc>
          <w:tcPr>
            <w:tcW w:w="235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4K液晶显示器</w:t>
            </w:r>
            <w:r/>
          </w:p>
        </w:tc>
        <w:tc>
          <w:tcPr>
            <w:tcW w:w="730"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台</w:t>
            </w:r>
            <w:r/>
          </w:p>
        </w:tc>
        <w:tc>
          <w:tcPr>
            <w:tcW w:w="634"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2</w:t>
            </w:r>
            <w:r/>
          </w:p>
        </w:tc>
        <w:tc>
          <w:tcPr>
            <w:tcW w:w="633"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否</w:t>
            </w:r>
            <w:r/>
          </w:p>
        </w:tc>
      </w:tr>
      <w:tr>
        <w:trPr>
          <w:trHeight w:val="270"/>
        </w:trPr>
        <w:tc>
          <w:tcPr>
            <w:tcW w:w="649" w:type="pct"/>
            <w:vAlign w:val="center"/>
            <w:textDirection w:val="lrTb"/>
            <w:noWrap w:val="false"/>
          </w:tcPr>
          <w:p>
            <w:pPr>
              <w:jc w:val="center"/>
              <w:rPr>
                <w:rFonts w:hint="eastAsia" w:ascii="Times New Roman" w:hAnsi="Times New Roman" w:cs="宋体"/>
                <w:szCs w:val="16"/>
              </w:rPr>
            </w:pPr>
            <w:r>
              <w:rPr>
                <w:rFonts w:hint="eastAsia" w:ascii="Times New Roman" w:hAnsi="Times New Roman" w:cs="宋体"/>
                <w:szCs w:val="16"/>
              </w:rPr>
              <w:t xml:space="preserve">65</w:t>
            </w:r>
            <w:r/>
          </w:p>
        </w:tc>
        <w:tc>
          <w:tcPr>
            <w:tcW w:w="2354"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辅材</w:t>
            </w:r>
            <w:r/>
          </w:p>
        </w:tc>
        <w:tc>
          <w:tcPr>
            <w:tcW w:w="730"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项</w:t>
            </w:r>
            <w:r/>
          </w:p>
        </w:tc>
        <w:tc>
          <w:tcPr>
            <w:tcW w:w="634"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1</w:t>
            </w:r>
            <w:r/>
          </w:p>
        </w:tc>
        <w:tc>
          <w:tcPr>
            <w:tcW w:w="633" w:type="pct"/>
            <w:vAlign w:val="center"/>
            <w:textDirection w:val="lrTb"/>
            <w:noWrap/>
          </w:tcPr>
          <w:p>
            <w:pPr>
              <w:jc w:val="center"/>
              <w:rPr>
                <w:rFonts w:hint="eastAsia" w:ascii="Times New Roman" w:hAnsi="Times New Roman" w:cs="宋体"/>
                <w:szCs w:val="16"/>
              </w:rPr>
            </w:pPr>
            <w:r>
              <w:rPr>
                <w:rFonts w:hint="eastAsia" w:ascii="Times New Roman" w:hAnsi="Times New Roman" w:cs="宋体"/>
                <w:szCs w:val="16"/>
              </w:rPr>
              <w:t xml:space="preserve">否</w:t>
            </w:r>
            <w:r/>
          </w:p>
        </w:tc>
      </w:tr>
    </w:tbl>
    <w:p>
      <w:pPr>
        <w:ind w:firstLine="482"/>
        <w:spacing w:line="400" w:lineRule="exact"/>
        <w:rPr>
          <w:rFonts w:hint="eastAsia" w:ascii="宋体" w:hAnsi="宋体"/>
          <w:b/>
          <w:sz w:val="24"/>
          <w:szCs w:val="24"/>
        </w:rPr>
      </w:pPr>
      <w:r>
        <w:rPr>
          <w:rFonts w:hint="eastAsia" w:ascii="宋体" w:hAnsi="宋体"/>
          <w:b/>
          <w:sz w:val="24"/>
          <w:szCs w:val="24"/>
        </w:rPr>
      </w:r>
      <w:r/>
    </w:p>
    <w:p>
      <w:pPr>
        <w:ind w:firstLine="482"/>
        <w:spacing w:line="400" w:lineRule="exact"/>
        <w:rPr>
          <w:rFonts w:hint="eastAsia" w:ascii="宋体" w:hAnsi="宋体"/>
          <w:b/>
          <w:sz w:val="24"/>
          <w:szCs w:val="24"/>
        </w:rPr>
      </w:pPr>
      <w:r>
        <w:rPr>
          <w:rFonts w:hint="eastAsia" w:ascii="宋体" w:hAnsi="宋体"/>
          <w:b/>
          <w:sz w:val="24"/>
          <w:szCs w:val="24"/>
        </w:rPr>
        <w:t xml:space="preserve">三</w:t>
      </w:r>
      <w:r>
        <w:rPr>
          <w:rFonts w:ascii="宋体" w:hAnsi="宋体"/>
          <w:b/>
          <w:sz w:val="24"/>
          <w:szCs w:val="24"/>
        </w:rPr>
        <w:t xml:space="preserve">、技术要求</w:t>
      </w:r>
      <w:r/>
    </w:p>
    <w:p>
      <w:pPr>
        <w:ind w:firstLine="480"/>
        <w:spacing w:line="400" w:lineRule="exact"/>
        <w:rPr>
          <w:rFonts w:hint="eastAsia"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p>
    <w:p>
      <w:pPr>
        <w:ind w:firstLine="480"/>
        <w:spacing w:line="400" w:lineRule="exact"/>
        <w:rPr>
          <w:rFonts w:hint="default" w:ascii="宋体" w:hAnsi="宋体" w:eastAsia="宋体"/>
          <w:bCs/>
          <w:sz w:val="24"/>
          <w:szCs w:val="24"/>
          <w:lang w:val="en-US" w:eastAsia="zh-CN"/>
        </w:rPr>
      </w:pPr>
      <w:r>
        <w:rPr>
          <w:rFonts w:hint="eastAsia" w:ascii="宋体" w:hAnsi="宋体"/>
          <w:bCs/>
          <w:sz w:val="24"/>
          <w:szCs w:val="24"/>
          <w:lang w:val="en-US" w:eastAsia="zh-CN"/>
        </w:rPr>
        <w:t xml:space="preserve">采购包1</w:t>
      </w:r>
      <w:r/>
    </w:p>
    <w:tbl>
      <w:tblPr>
        <w:tblStyle w:val="791"/>
        <w:tblpPr w:horzAnchor="page" w:tblpX="1518" w:vertAnchor="text" w:tblpY="395"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805"/>
        <w:gridCol w:w="1200"/>
        <w:gridCol w:w="1841"/>
        <w:gridCol w:w="4762"/>
      </w:tblGrid>
      <w:tr>
        <w:trPr/>
        <w:tc>
          <w:tcPr>
            <w:tcW w:w="421" w:type="pct"/>
            <w:vAlign w:val="center"/>
            <w:textDirection w:val="lrTb"/>
            <w:noWrap w:val="false"/>
          </w:tcPr>
          <w:p>
            <w:pPr>
              <w:jc w:val="center"/>
              <w:rPr>
                <w:rFonts w:ascii="Times New Roman" w:hAnsi="Times New Roman"/>
              </w:rPr>
            </w:pPr>
            <w:r>
              <w:rPr>
                <w:rFonts w:hint="eastAsia" w:ascii="Times New Roman" w:hAnsi="Times New Roman"/>
              </w:rPr>
              <w:t xml:space="preserve">序号</w:t>
            </w:r>
            <w:r/>
          </w:p>
        </w:tc>
        <w:tc>
          <w:tcPr>
            <w:tcW w:w="428" w:type="pct"/>
            <w:vAlign w:val="center"/>
            <w:textDirection w:val="lrTb"/>
            <w:noWrap w:val="false"/>
          </w:tcPr>
          <w:p>
            <w:pPr>
              <w:jc w:val="center"/>
              <w:rPr>
                <w:rFonts w:ascii="Times New Roman" w:hAnsi="Times New Roman"/>
              </w:rPr>
            </w:pPr>
            <w:r>
              <w:rPr>
                <w:rFonts w:hint="eastAsia" w:ascii="Times New Roman" w:hAnsi="Times New Roman"/>
              </w:rPr>
              <w:t xml:space="preserve">指标分类</w:t>
            </w:r>
            <w:r/>
          </w:p>
        </w:tc>
        <w:tc>
          <w:tcPr>
            <w:tcW w:w="638" w:type="pct"/>
            <w:vAlign w:val="center"/>
            <w:textDirection w:val="lrTb"/>
            <w:noWrap w:val="false"/>
          </w:tcPr>
          <w:p>
            <w:pPr>
              <w:jc w:val="center"/>
              <w:rPr>
                <w:rFonts w:ascii="Times New Roman" w:hAnsi="Times New Roman"/>
              </w:rPr>
            </w:pPr>
            <w:r>
              <w:rPr>
                <w:rFonts w:hint="eastAsia" w:ascii="Times New Roman" w:hAnsi="Times New Roman"/>
              </w:rPr>
              <w:t xml:space="preserve">一级</w:t>
            </w:r>
            <w:r/>
          </w:p>
          <w:p>
            <w:pPr>
              <w:jc w:val="center"/>
              <w:rPr>
                <w:rFonts w:ascii="Times New Roman" w:hAnsi="Times New Roman"/>
              </w:rPr>
            </w:pPr>
            <w:r>
              <w:rPr>
                <w:rFonts w:hint="eastAsia" w:ascii="Times New Roman" w:hAnsi="Times New Roman"/>
              </w:rPr>
              <w:t xml:space="preserve">指标</w:t>
            </w:r>
            <w:r/>
          </w:p>
        </w:tc>
        <w:tc>
          <w:tcPr>
            <w:tcW w:w="979" w:type="pct"/>
            <w:vAlign w:val="center"/>
            <w:textDirection w:val="lrTb"/>
            <w:noWrap w:val="false"/>
          </w:tcPr>
          <w:p>
            <w:pPr>
              <w:jc w:val="center"/>
              <w:rPr>
                <w:rFonts w:ascii="Times New Roman" w:hAnsi="Times New Roman"/>
              </w:rPr>
            </w:pPr>
            <w:r>
              <w:rPr>
                <w:rFonts w:hint="eastAsia" w:ascii="Times New Roman" w:hAnsi="Times New Roman"/>
              </w:rPr>
              <w:t xml:space="preserve">二级指标</w:t>
            </w:r>
            <w:r/>
          </w:p>
        </w:tc>
        <w:tc>
          <w:tcPr>
            <w:tcW w:w="2532" w:type="pct"/>
            <w:vAlign w:val="center"/>
            <w:textDirection w:val="lrTb"/>
            <w:noWrap w:val="false"/>
          </w:tcPr>
          <w:p>
            <w:pPr>
              <w:jc w:val="center"/>
              <w:rPr>
                <w:rFonts w:ascii="Times New Roman" w:hAnsi="Times New Roman"/>
              </w:rPr>
            </w:pPr>
            <w:r>
              <w:rPr>
                <w:rFonts w:hint="eastAsia" w:ascii="Times New Roman" w:hAnsi="Times New Roman"/>
              </w:rPr>
              <w:t xml:space="preserve">指标要求</w:t>
            </w:r>
            <w:r/>
          </w:p>
        </w:tc>
      </w:tr>
      <w:tr>
        <w:trPr>
          <w:trHeight w:val="786"/>
        </w:trPr>
        <w:tc>
          <w:tcPr>
            <w:tcW w:w="421" w:type="pct"/>
            <w:vAlign w:val="center"/>
            <w:textDirection w:val="lrTb"/>
            <w:noWrap w:val="false"/>
          </w:tcPr>
          <w:p>
            <w:pPr>
              <w:jc w:val="center"/>
              <w:rPr>
                <w:rFonts w:ascii="Times New Roman" w:hAnsi="Times New Roman"/>
              </w:rPr>
            </w:pPr>
            <w:r>
              <w:rPr>
                <w:rFonts w:ascii="Times New Roman" w:hAnsi="Times New Roman"/>
              </w:rPr>
              <w:t xml:space="preserve">1</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textDirection w:val="lrTb"/>
            <w:noWrap w:val="false"/>
          </w:tcPr>
          <w:p>
            <w:pPr>
              <w:jc w:val="center"/>
              <w:rPr>
                <w:rFonts w:ascii="Times New Roman" w:hAnsi="Times New Roman"/>
              </w:rPr>
            </w:pPr>
            <w:r>
              <w:rPr>
                <w:rFonts w:hint="eastAsia" w:ascii="Times New Roman" w:hAnsi="Times New Roman" w:cs="宋体"/>
                <w:szCs w:val="18"/>
              </w:rPr>
              <w:t xml:space="preserve">CPU规格</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CPU信息</w:t>
            </w:r>
            <w:r/>
          </w:p>
        </w:tc>
        <w:tc>
          <w:tcPr>
            <w:tcW w:w="2532" w:type="pct"/>
            <w:vAlign w:val="center"/>
            <w:textDirection w:val="lrTb"/>
            <w:noWrap w:val="false"/>
          </w:tcPr>
          <w:p>
            <w:pPr>
              <w:jc w:val="left"/>
              <w:spacing w:line="240" w:lineRule="exact"/>
              <w:widowControl/>
              <w:rPr>
                <w:rFonts w:ascii="Times New Roman" w:hAnsi="Times New Roman" w:cs="宋体"/>
                <w:b/>
                <w:bCs/>
                <w:iCs/>
                <w:szCs w:val="18"/>
              </w:rPr>
            </w:pPr>
            <w:r>
              <w:rPr>
                <w:rFonts w:hint="eastAsia" w:ascii="Times New Roman" w:hAnsi="Times New Roman" w:cs="仿宋"/>
                <w:b/>
                <w:bCs/>
                <w:szCs w:val="21"/>
                <w:lang w:bidi="ar"/>
              </w:rPr>
              <w:t xml:space="preserve">★</w:t>
            </w:r>
            <w:r>
              <w:rPr>
                <w:rFonts w:hint="eastAsia" w:ascii="Times New Roman" w:hAnsi="Times New Roman" w:cs="宋体"/>
                <w:b/>
                <w:bCs/>
                <w:iCs/>
                <w:szCs w:val="21"/>
              </w:rPr>
              <w:t xml:space="preserve">供应商在投标文件中给出 CPU 信息，包含 CPU 型号、物理核心数、主频、末级缓存容量、线程数、热设计功耗及内存的最高速率、通道数和位宽。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内存规格</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rPr>
              <w:t xml:space="preserve">内存配置容量（</w:t>
            </w:r>
            <w:r>
              <w:rPr>
                <w:rFonts w:hint="eastAsia" w:ascii="Times New Roman" w:hAnsi="Times New Roman" w:cs="仿宋"/>
                <w:b/>
                <w:szCs w:val="18"/>
                <w:lang w:bidi="ar"/>
              </w:rPr>
              <w:t xml:space="preserve">教师机</w:t>
            </w:r>
            <w:r>
              <w:rPr>
                <w:rFonts w:hint="eastAsia" w:ascii="Times New Roman" w:hAnsi="Times New Roman"/>
              </w:rPr>
              <w:t xml:space="preserve">）</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szCs w:val="18"/>
              </w:rPr>
              <w:t xml:space="preserve">≥16GB。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jc w:val="cente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rPr>
              <w:t xml:space="preserve">内存配置容量（</w:t>
            </w:r>
            <w:r>
              <w:rPr>
                <w:rFonts w:hint="eastAsia" w:ascii="Times New Roman" w:hAnsi="Times New Roman" w:cs="仿宋"/>
                <w:b/>
                <w:szCs w:val="18"/>
                <w:lang w:bidi="ar"/>
              </w:rPr>
              <w:t xml:space="preserve">学生机</w:t>
            </w:r>
            <w:r>
              <w:rPr>
                <w:rFonts w:hint="eastAsia" w:ascii="Times New Roman" w:hAnsi="Times New Roman"/>
              </w:rPr>
              <w:t xml:space="preserve">）</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cs="宋体"/>
                <w:szCs w:val="18"/>
              </w:rPr>
              <w:t xml:space="preserve">≥</w:t>
            </w:r>
            <w:r>
              <w:rPr>
                <w:rFonts w:hint="eastAsia" w:ascii="Times New Roman" w:hAnsi="Times New Roman" w:cs="宋体"/>
                <w:bCs/>
                <w:iCs/>
                <w:szCs w:val="18"/>
              </w:rPr>
              <w:t xml:space="preserve">8GB。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内存类型</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 DDR4/LPDDR4/LPDDR4X 及以上内存类型。</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内存条配置数量（板载内存不涉及）</w:t>
            </w:r>
            <w:r/>
          </w:p>
        </w:tc>
        <w:tc>
          <w:tcPr>
            <w:tcW w:w="2532"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rHeight w:val="743"/>
        </w:trPr>
        <w:tc>
          <w:tcPr>
            <w:tcW w:w="421" w:type="pct"/>
            <w:vAlign w:val="center"/>
            <w:textDirection w:val="lrTb"/>
            <w:noWrap w:val="false"/>
          </w:tcPr>
          <w:p>
            <w:pPr>
              <w:jc w:val="center"/>
              <w:rPr>
                <w:rFonts w:ascii="Times New Roman" w:hAnsi="Times New Roman"/>
              </w:rPr>
            </w:pPr>
            <w:r>
              <w:rPr>
                <w:rFonts w:ascii="Times New Roman" w:hAnsi="Times New Roman"/>
              </w:rPr>
              <w:t xml:space="preserve">6</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主板规格</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主板集成模块</w:t>
            </w:r>
            <w:r/>
          </w:p>
        </w:tc>
        <w:tc>
          <w:tcPr>
            <w:tcW w:w="2532"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仿宋"/>
                <w:szCs w:val="18"/>
                <w:lang w:bidi="ar"/>
              </w:rPr>
              <w:t xml:space="preserve">★</w:t>
            </w:r>
            <w:r>
              <w:rPr>
                <w:rFonts w:hint="eastAsia" w:ascii="Times New Roman" w:hAnsi="Times New Roman" w:cs="宋体"/>
                <w:szCs w:val="18"/>
              </w:rPr>
              <w:t xml:space="preserve">集成资源扩展模块、计算处理模块、音频扩展模块等，主板的互联拓扑可通过处理器或交换电路实现。</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主板支持的CPU和内存情况</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★支持1颗C86处理器，支持</w:t>
            </w:r>
            <w:r>
              <w:rPr>
                <w:rFonts w:ascii="Times New Roman" w:hAnsi="Times New Roman" w:cs="仿宋"/>
                <w:szCs w:val="18"/>
                <w:lang w:bidi="ar"/>
              </w:rPr>
              <w:t xml:space="preserve">2</w:t>
            </w:r>
            <w:r>
              <w:rPr>
                <w:rFonts w:hint="eastAsia" w:ascii="Times New Roman" w:hAnsi="Times New Roman" w:cs="仿宋"/>
                <w:szCs w:val="18"/>
                <w:lang w:bidi="ar"/>
              </w:rPr>
              <w:t xml:space="preserve">根DDR4-3200内存。</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主板内置PCIe插槽数量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PCIe插槽:主板提供不少于1个PCIex16，不少于1个PCIex4扩展槽，不少于1个PCIe x1扩展槽。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jc w:val="cente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特殊孔位及接口</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a）预留满足 USB3.0 数据传输规范的接口，工作电压 5V，最大过电流应不小于 3A；b) 预留多功能导入装置板卡安装孔位，采用内置方式与主机一体化集成，容量不小于 145mm×125mm×16.5mm （长×宽×高）。</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主板其他内置接口</w:t>
            </w:r>
            <w:r/>
          </w:p>
        </w:tc>
        <w:tc>
          <w:tcPr>
            <w:tcW w:w="2532" w:type="pct"/>
            <w:vAlign w:val="center"/>
            <w:textDirection w:val="lrTb"/>
            <w:noWrap w:val="false"/>
          </w:tcPr>
          <w:p>
            <w:pPr>
              <w:jc w:val="left"/>
              <w:spacing w:line="240" w:lineRule="exact"/>
              <w:widowControl/>
              <w:rPr>
                <w:rFonts w:ascii="Times New Roman" w:hAnsi="Times New Roman" w:cs="宋体"/>
                <w:b/>
                <w:bCs/>
                <w:iCs/>
                <w:szCs w:val="18"/>
              </w:rPr>
            </w:pPr>
            <w:r>
              <w:rPr>
                <w:rFonts w:hint="eastAsia" w:ascii="Times New Roman" w:hAnsi="Times New Roman" w:cs="仿宋"/>
                <w:b/>
                <w:bCs/>
                <w:szCs w:val="18"/>
                <w:lang w:bidi="ar"/>
              </w:rPr>
              <w:t xml:space="preserve">★</w:t>
            </w:r>
            <w:r>
              <w:rPr>
                <w:rFonts w:hint="eastAsia" w:ascii="Times New Roman" w:hAnsi="Times New Roman" w:cs="宋体"/>
                <w:b/>
                <w:bCs/>
                <w:iCs/>
                <w:szCs w:val="18"/>
              </w:rPr>
              <w:t xml:space="preserve">供应商</w:t>
            </w:r>
            <w:r>
              <w:rPr>
                <w:rFonts w:hint="eastAsia" w:ascii="Times New Roman" w:hAnsi="Times New Roman" w:cs="宋体"/>
                <w:b/>
                <w:bCs/>
                <w:iCs/>
                <w:szCs w:val="21"/>
              </w:rPr>
              <w:t xml:space="preserve">在投标文件中</w:t>
            </w:r>
            <w:r>
              <w:rPr>
                <w:rFonts w:hint="eastAsia" w:ascii="Times New Roman" w:hAnsi="Times New Roman" w:cs="宋体"/>
                <w:b/>
                <w:bCs/>
                <w:iCs/>
                <w:szCs w:val="18"/>
              </w:rPr>
              <w:t xml:space="preserve">给出相关 SATA、M.2、USB 接口数量及占用状态。</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单内存插槽最大可支持容量（板载内存不涉及）</w:t>
            </w:r>
            <w:r>
              <w:rPr>
                <w:rFonts w:hint="eastAsia" w:ascii="Times New Roman" w:hAnsi="Times New Roman" w:cs="宋体"/>
                <w:bCs/>
                <w:iCs/>
                <w:szCs w:val="18"/>
              </w:rPr>
              <w:t xml:space="preserve">（</w:t>
            </w:r>
            <w:r>
              <w:rPr>
                <w:rFonts w:hint="eastAsia" w:ascii="Times New Roman" w:hAnsi="Times New Roman" w:cs="宋体"/>
                <w:b/>
                <w:bCs/>
                <w:iCs/>
                <w:szCs w:val="18"/>
              </w:rPr>
              <w:t xml:space="preserve">教师机</w:t>
            </w:r>
            <w:r>
              <w:rPr>
                <w:rFonts w:hint="eastAsia" w:ascii="Times New Roman" w:hAnsi="Times New Roman" w:cs="宋体"/>
                <w:bCs/>
                <w:iCs/>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≥16GB。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单内存插槽最大可支持容量（板载内存不涉及）</w:t>
            </w:r>
            <w:r>
              <w:rPr>
                <w:rFonts w:hint="eastAsia" w:ascii="Times New Roman" w:hAnsi="Times New Roman" w:cs="宋体"/>
                <w:bCs/>
                <w:iCs/>
                <w:szCs w:val="18"/>
              </w:rPr>
              <w:t xml:space="preserve">（</w:t>
            </w:r>
            <w:r>
              <w:rPr>
                <w:rFonts w:hint="eastAsia" w:ascii="Times New Roman" w:hAnsi="Times New Roman" w:cs="宋体"/>
                <w:b/>
                <w:bCs/>
                <w:iCs/>
                <w:szCs w:val="18"/>
              </w:rPr>
              <w:t xml:space="preserve">学生机</w:t>
            </w:r>
            <w:r>
              <w:rPr>
                <w:rFonts w:hint="eastAsia" w:ascii="Times New Roman" w:hAnsi="Times New Roman" w:cs="宋体"/>
                <w:bCs/>
                <w:iCs/>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≥8GB。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内存插槽满配时提供的最高内存总容量</w:t>
            </w:r>
            <w:r>
              <w:rPr>
                <w:rFonts w:hint="eastAsia" w:ascii="Times New Roman" w:hAnsi="Times New Roman" w:cs="宋体"/>
                <w:bCs/>
                <w:iCs/>
                <w:szCs w:val="18"/>
              </w:rPr>
              <w:t xml:space="preserve">（</w:t>
            </w:r>
            <w:r>
              <w:rPr>
                <w:rFonts w:hint="eastAsia" w:ascii="Times New Roman" w:hAnsi="Times New Roman" w:cs="宋体"/>
                <w:b/>
                <w:bCs/>
                <w:iCs/>
                <w:szCs w:val="18"/>
              </w:rPr>
              <w:t xml:space="preserve">教师机</w:t>
            </w:r>
            <w:r>
              <w:rPr>
                <w:rFonts w:hint="eastAsia" w:ascii="Times New Roman" w:hAnsi="Times New Roman" w:cs="宋体"/>
                <w:bCs/>
                <w:iCs/>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仿宋"/>
                <w:szCs w:val="18"/>
                <w:highlight w:val="none"/>
                <w:lang w:bidi="ar"/>
              </w:rPr>
            </w:pPr>
            <w:r>
              <w:rPr>
                <w:rFonts w:hint="eastAsia" w:ascii="Times New Roman" w:hAnsi="Times New Roman" w:cs="仿宋"/>
                <w:szCs w:val="18"/>
                <w:highlight w:val="none"/>
                <w:lang w:bidi="ar"/>
              </w:rPr>
              <w:t xml:space="preserve">▲</w:t>
            </w:r>
            <w:r>
              <w:rPr>
                <w:rFonts w:hint="eastAsia" w:ascii="Times New Roman" w:hAnsi="Times New Roman" w:cs="宋体"/>
                <w:bCs/>
                <w:iCs/>
                <w:szCs w:val="18"/>
                <w:highlight w:val="none"/>
              </w:rPr>
              <w:t xml:space="preserve">≥32GB。</w:t>
            </w:r>
            <w:r/>
          </w:p>
        </w:tc>
      </w:tr>
      <w:tr>
        <w:trPr>
          <w:trHeight w:val="1139"/>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内存插槽满配时提供的最高内存总容量</w:t>
            </w:r>
            <w:r>
              <w:rPr>
                <w:rFonts w:hint="eastAsia" w:ascii="Times New Roman" w:hAnsi="Times New Roman" w:cs="宋体"/>
                <w:bCs/>
                <w:iCs/>
                <w:szCs w:val="18"/>
              </w:rPr>
              <w:t xml:space="preserve">（</w:t>
            </w:r>
            <w:r>
              <w:rPr>
                <w:rFonts w:hint="eastAsia" w:ascii="Times New Roman" w:hAnsi="Times New Roman" w:cs="宋体"/>
                <w:b/>
                <w:bCs/>
                <w:iCs/>
                <w:szCs w:val="18"/>
              </w:rPr>
              <w:t xml:space="preserve">学生机</w:t>
            </w:r>
            <w:r>
              <w:rPr>
                <w:rFonts w:hint="eastAsia" w:ascii="Times New Roman" w:hAnsi="Times New Roman" w:cs="宋体"/>
                <w:bCs/>
                <w:iCs/>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宋体"/>
                <w:bCs/>
                <w:iCs/>
                <w:szCs w:val="18"/>
                <w:highlight w:val="none"/>
              </w:rPr>
            </w:pPr>
            <w:r>
              <w:rPr>
                <w:rFonts w:hint="eastAsia" w:ascii="Times New Roman" w:hAnsi="Times New Roman" w:cs="仿宋"/>
                <w:szCs w:val="18"/>
                <w:highlight w:val="none"/>
                <w:lang w:bidi="ar"/>
              </w:rPr>
              <w:t xml:space="preserve">▲</w:t>
            </w:r>
            <w:r>
              <w:rPr>
                <w:rFonts w:hint="eastAsia" w:ascii="Times New Roman" w:hAnsi="Times New Roman" w:cs="宋体"/>
                <w:bCs/>
                <w:iCs/>
                <w:szCs w:val="18"/>
                <w:highlight w:val="none"/>
              </w:rPr>
              <w:t xml:space="preserve">≥16GB。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存储设备规格</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固态盘数量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≥1个。</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固态存储容量</w:t>
            </w:r>
            <w:r>
              <w:rPr>
                <w:rFonts w:hint="eastAsia" w:ascii="Times New Roman" w:hAnsi="Times New Roman" w:cs="宋体"/>
                <w:bCs/>
                <w:iCs/>
                <w:szCs w:val="18"/>
              </w:rPr>
              <w:t xml:space="preserve">（</w:t>
            </w:r>
            <w:r>
              <w:rPr>
                <w:rFonts w:hint="eastAsia" w:ascii="Times New Roman" w:hAnsi="Times New Roman" w:cs="宋体"/>
                <w:b/>
                <w:bCs/>
                <w:iCs/>
                <w:szCs w:val="18"/>
              </w:rPr>
              <w:t xml:space="preserve">教师机</w:t>
            </w:r>
            <w:r>
              <w:rPr>
                <w:rFonts w:hint="eastAsia" w:ascii="Times New Roman" w:hAnsi="Times New Roman" w:cs="宋体"/>
                <w:bCs/>
                <w:iCs/>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≥512GB。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固态存储容量</w:t>
            </w:r>
            <w:r>
              <w:rPr>
                <w:rFonts w:hint="eastAsia" w:ascii="Times New Roman" w:hAnsi="Times New Roman" w:cs="宋体"/>
                <w:bCs/>
                <w:iCs/>
                <w:szCs w:val="18"/>
              </w:rPr>
              <w:t xml:space="preserve">（</w:t>
            </w:r>
            <w:r>
              <w:rPr>
                <w:rFonts w:hint="eastAsia" w:ascii="Times New Roman" w:hAnsi="Times New Roman" w:cs="宋体"/>
                <w:b/>
                <w:bCs/>
                <w:iCs/>
                <w:szCs w:val="18"/>
              </w:rPr>
              <w:t xml:space="preserve">学生机</w:t>
            </w:r>
            <w:r>
              <w:rPr>
                <w:rFonts w:hint="eastAsia" w:ascii="Times New Roman" w:hAnsi="Times New Roman" w:cs="宋体"/>
                <w:bCs/>
                <w:iCs/>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≥256GB。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18</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机械硬盘数量</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≥1个。</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19</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机械硬盘总容量（</w:t>
            </w:r>
            <w:r>
              <w:rPr>
                <w:rFonts w:hint="eastAsia" w:ascii="Times New Roman" w:hAnsi="Times New Roman" w:cs="宋体"/>
                <w:b/>
                <w:bCs/>
                <w:szCs w:val="18"/>
              </w:rPr>
              <w:t xml:space="preserve">教师机</w:t>
            </w:r>
            <w:r>
              <w:rPr>
                <w:rFonts w:hint="eastAsia" w:ascii="Times New Roman" w:hAnsi="Times New Roman" w:cs="宋体"/>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≥1TB。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20</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机械硬盘总容量</w:t>
            </w:r>
            <w:r>
              <w:rPr>
                <w:rFonts w:hint="eastAsia" w:ascii="Times New Roman" w:hAnsi="Times New Roman" w:cs="宋体"/>
                <w:bCs/>
                <w:iCs/>
                <w:szCs w:val="18"/>
              </w:rPr>
              <w:t xml:space="preserve">（</w:t>
            </w:r>
            <w:r>
              <w:rPr>
                <w:rFonts w:hint="eastAsia" w:ascii="Times New Roman" w:hAnsi="Times New Roman" w:cs="宋体"/>
                <w:b/>
                <w:bCs/>
                <w:iCs/>
                <w:szCs w:val="18"/>
              </w:rPr>
              <w:t xml:space="preserve">学生机</w:t>
            </w:r>
            <w:r>
              <w:rPr>
                <w:rFonts w:hint="eastAsia" w:ascii="Times New Roman" w:hAnsi="Times New Roman" w:cs="宋体"/>
                <w:bCs/>
                <w:iCs/>
                <w:szCs w:val="18"/>
              </w:rPr>
              <w:t xml:space="preserve">）</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≥500GB。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21</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机械硬盘转速</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≥5400rpm。</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22</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机械硬盘接口协议</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支持 SATA3.0 及以上或 SAS3.0 及以上接口</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23</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机械硬盘形态</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★2.5 英寸或 3.5 英寸等</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24</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固态存储接口协议</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UFS/SATA/PCIe/NVMe等类型接口协议。</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25</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固态存储形态</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采用插卡或板载等形态，可选用符合M.2或2.5寸SATA或mSATA等标准的插卡形态。</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26</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存储设备其他参数要求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a)固态盘应符合 SJ/T 11654 相关规定；b)机械硬盘准备时间应不大于 30s；侧面固定螺丝孔数量可为 4 孔或 6 孔；工作状态环境温度应满足 5℃~55℃；其它参数应符合 GB/T 12628 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27</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显卡规格</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显卡类型</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独立显卡。</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28</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独立显卡显存类型</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显存类型应为DDR3/DDR4/GDDR5/GDDR6/LPDDR4。</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29</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独立显卡显存位宽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○显存位宽≥16 位。</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30</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center"/>
              <w:spacing w:line="240" w:lineRule="exact"/>
              <w:widowControl/>
              <w:rPr>
                <w:rFonts w:ascii="Times New Roman" w:hAnsi="Times New Roman" w:cs="宋体"/>
                <w:szCs w:val="18"/>
              </w:rPr>
            </w:pPr>
            <w:r>
              <w:rPr>
                <w:rFonts w:hint="eastAsia" w:ascii="Times New Roman" w:hAnsi="Times New Roman" w:cs="宋体"/>
                <w:szCs w:val="18"/>
              </w:rPr>
              <w:t xml:space="preserve">独立显卡显存容量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显存容量≥2GB。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31</w:t>
            </w:r>
            <w:r/>
          </w:p>
        </w:tc>
        <w:tc>
          <w:tcPr>
            <w:tcW w:w="428" w:type="pct"/>
            <w:vAlign w:val="center"/>
            <w:textDirection w:val="lrTb"/>
            <w:noWrap w:val="false"/>
          </w:tcPr>
          <w:p>
            <w:pPr>
              <w:jc w:val="center"/>
              <w:spacing w:line="300" w:lineRule="exact"/>
              <w:rPr>
                <w:rFonts w:ascii="Times New Roman" w:hAnsi="Times New Roman"/>
                <w:szCs w:val="18"/>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rPr>
                <w:rFonts w:ascii="Times New Roman" w:hAnsi="Times New Roman"/>
              </w:rPr>
            </w:pPr>
            <w:r>
              <w:rPr>
                <w:rFonts w:hint="eastAsia" w:ascii="Times New Roman" w:hAnsi="Times New Roman" w:cs="宋体"/>
                <w:szCs w:val="18"/>
              </w:rPr>
              <w:t xml:space="preserve">独立显卡接口协议</w:t>
            </w:r>
            <w:r/>
          </w:p>
        </w:tc>
        <w:tc>
          <w:tcPr>
            <w:tcW w:w="2532" w:type="pct"/>
            <w:vAlign w:val="center"/>
            <w:textDirection w:val="lrTb"/>
            <w:noWrap w:val="false"/>
          </w:tcPr>
          <w:p>
            <w:pPr>
              <w:rPr>
                <w:rFonts w:ascii="Times New Roman" w:hAnsi="Times New Roman"/>
              </w:rPr>
            </w:pPr>
            <w:r>
              <w:rPr>
                <w:rFonts w:hint="eastAsia" w:ascii="Times New Roman" w:hAnsi="Times New Roman" w:cs="宋体"/>
                <w:bCs/>
                <w:iCs/>
                <w:szCs w:val="18"/>
              </w:rPr>
              <w:t xml:space="preserve">○支持 PCIe 协议版本大于等于 2.0 或 HT（HyperTransport）协议版本大于等于 3.0 的独立显卡接口协议。</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显示设备规格</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显示屏屏占比</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≥80%。</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显示屏分辨率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≥1920x1080。</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显示屏像素密度</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○≥85像素/英寸。</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显示屏可视角度</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○水平≥170° 。</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显示屏尺寸</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≥27英寸。</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显示屏屏幕比例</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16:9/3:2/21:9/16:10 等。</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显示器外观颜色</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黑色/白色/银色等商务色系。</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39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显示屏防蓝光</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○支持防蓝光模式，蓝光加权辐射亮度比应≤0.0012W/(·cd·sr)（瓦每坎特拉每球面度）。</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jc w:val="cente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显示屏低频闪</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○显示屏应支持低频闪≤-35dB 。</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显示屏防炫目</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○显示屏镜面反射率≤10</w:t>
            </w:r>
            <w:r>
              <w:rPr>
                <w:rFonts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外设规格</w:t>
            </w:r>
            <w:r/>
          </w:p>
        </w:tc>
        <w:tc>
          <w:tcPr>
            <w:tcW w:w="979" w:type="pct"/>
            <w:vAlign w:val="center"/>
            <w:textDirection w:val="lrTb"/>
            <w:noWrap w:val="false"/>
          </w:tcPr>
          <w:p>
            <w:pPr>
              <w:jc w:val="left"/>
              <w:spacing w:line="240" w:lineRule="exact"/>
              <w:widowControl/>
              <w:rPr>
                <w:rFonts w:ascii="Times New Roman" w:hAnsi="Times New Roman" w:cs="宋体"/>
                <w:color w:val="ff0000"/>
                <w:szCs w:val="18"/>
                <w:highlight w:val="yellow"/>
              </w:rPr>
            </w:pPr>
            <w:r>
              <w:rPr>
                <w:rFonts w:hint="eastAsia" w:ascii="Times New Roman" w:hAnsi="Times New Roman" w:cs="宋体"/>
                <w:szCs w:val="18"/>
              </w:rPr>
              <w:t xml:space="preserve">鼠标数量</w:t>
            </w:r>
            <w:r/>
          </w:p>
        </w:tc>
        <w:tc>
          <w:tcPr>
            <w:tcW w:w="2532" w:type="pct"/>
            <w:vAlign w:val="center"/>
            <w:textDirection w:val="lrTb"/>
            <w:noWrap w:val="false"/>
          </w:tcPr>
          <w:p>
            <w:pPr>
              <w:jc w:val="left"/>
              <w:spacing w:line="240" w:lineRule="exact"/>
              <w:widowControl/>
              <w:rPr>
                <w:rFonts w:ascii="Times New Roman" w:hAnsi="Times New Roman" w:cs="宋体"/>
                <w:bCs/>
                <w:iCs/>
                <w:color w:val="ff0000"/>
                <w:szCs w:val="18"/>
                <w:highlight w:val="yellow"/>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≥1个。</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≥1个。</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摄像头数量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w:t>
            </w:r>
            <w:r>
              <w:rPr>
                <w:rFonts w:ascii="Times New Roman" w:hAnsi="Times New Roman" w:cs="宋体"/>
                <w:bCs/>
                <w:iCs/>
                <w:szCs w:val="18"/>
              </w:rPr>
              <w:t xml:space="preserve">1</w:t>
            </w:r>
            <w:r>
              <w:rPr>
                <w:rFonts w:hint="eastAsia" w:ascii="Times New Roman" w:hAnsi="Times New Roman" w:cs="宋体"/>
                <w:bCs/>
                <w:iCs/>
                <w:szCs w:val="18"/>
              </w:rPr>
              <w:t xml:space="preserve">个。</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光驱数量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≥1个。</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键盘按键数目</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101 键/104 键。</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摄像头像素</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≥50 万。</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48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摄像头分辨率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≥800*600。</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键盘连接方式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有线或无线。</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键盘键程</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2.3mm~4.0mm。</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键盘按键压力</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按键压力应在0.54N±0.14N。</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有线键盘连接线</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≥1.5米。</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键盘颜色</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黑色/白色/银色等商务色系。</w:t>
            </w:r>
            <w:r/>
          </w:p>
        </w:tc>
      </w:tr>
      <w:tr>
        <w:trPr>
          <w:trHeight w:val="758"/>
        </w:trPr>
        <w:tc>
          <w:tcPr>
            <w:tcW w:w="421" w:type="pct"/>
            <w:vAlign w:val="center"/>
            <w:textDirection w:val="lrTb"/>
            <w:noWrap w:val="false"/>
          </w:tcPr>
          <w:p>
            <w:pPr>
              <w:jc w:val="center"/>
              <w:rPr>
                <w:rFonts w:ascii="Times New Roman" w:hAnsi="Times New Roman"/>
              </w:rPr>
            </w:pPr>
            <w:r>
              <w:rPr>
                <w:rFonts w:ascii="Times New Roman" w:hAnsi="Times New Roman"/>
              </w:rPr>
              <w:t xml:space="preserve">55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键盘其他要求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键盘外观结构、连接方式、主要功能、安全、电磁兼容性、可靠性应符合GB/T14081的相关规定。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鼠标连接方式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有线或无线。</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有线鼠标连接线</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≥1.5米。</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58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鼠标DPI分辨率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800~1600。</w:t>
            </w:r>
            <w:r/>
          </w:p>
        </w:tc>
      </w:tr>
      <w:tr>
        <w:trPr>
          <w:trHeight w:val="648"/>
        </w:trPr>
        <w:tc>
          <w:tcPr>
            <w:tcW w:w="421" w:type="pct"/>
            <w:vAlign w:val="center"/>
            <w:textDirection w:val="lrTb"/>
            <w:noWrap w:val="false"/>
          </w:tcPr>
          <w:p>
            <w:pPr>
              <w:jc w:val="center"/>
              <w:rPr>
                <w:rFonts w:ascii="Times New Roman" w:hAnsi="Times New Roman"/>
              </w:rPr>
            </w:pPr>
            <w:r>
              <w:rPr>
                <w:rFonts w:ascii="Times New Roman" w:hAnsi="Times New Roman"/>
              </w:rPr>
              <w:t xml:space="preserve">59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鼠标颜色</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黑色/银色/白色等商务色系。</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鼠标其他要求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其它参数应符合GB/T26245的相关规定。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内置光驱</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支持内置光驱。</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网络设备规格</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有线网卡数量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外部接口规格</w:t>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USB接口数量</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机箱前面板应提供不少于 3 个 USB 接口（含 2 个 USB3.0 及以上接口）；后面板提供不少于2个USB2.0接口，2个USB3.0接口。</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视频接口数量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音频接口数量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整机基础规格</w:t>
            </w:r>
            <w:r/>
          </w:p>
          <w:p>
            <w:pPr>
              <w:jc w:val="cente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整机外观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产品表面不应有凹痕、划伤、裂缝、变形和污染等。表面涂层均匀，不应起泡、龟裂、脱落和磨损，金属零部件无锈蚀及其它机械损伤；产品表面说明功能的文字、符号、标志，应清晰、端正、牢固；设计带有顶置把手且可拆卸。</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状态指示灯</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在产品显著位置提供状态指示功能，如运行状态，并由供应商提供详细参数。</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整机结构</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机箱应符合 GB/T 4208、GB/T 26246的相关规定；产品内部结构应符合通用部件的安装需求；所有输入输出接口应符合相关国家或行业标准； 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w:t>
            </w:r>
            <w:r>
              <w:rPr>
                <w:rFonts w:hint="eastAsia" w:ascii="Times New Roman" w:hAnsi="Times New Roman" w:cs="宋体"/>
                <w:bCs/>
                <w:iCs/>
                <w:szCs w:val="18"/>
              </w:rPr>
              <w:t xml:space="preserve">保证安全；整机内部走线应规整，固线结构和位置要合理可靠并做防割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69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机箱防护要求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机箱应符合GB/T4208中IP20防护要求。</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highlight w:val="yellow"/>
              </w:rPr>
            </w:pPr>
            <w:r>
              <w:rPr>
                <w:rFonts w:hint="eastAsia" w:ascii="Times New Roman" w:hAnsi="Times New Roman" w:cs="宋体"/>
                <w:szCs w:val="18"/>
              </w:rPr>
              <w:t xml:space="preserve">整机噪音</w:t>
            </w:r>
            <w:r/>
          </w:p>
        </w:tc>
        <w:tc>
          <w:tcPr>
            <w:tcW w:w="2532" w:type="pct"/>
            <w:vAlign w:val="center"/>
            <w:textDirection w:val="lrTb"/>
            <w:noWrap w:val="false"/>
          </w:tcPr>
          <w:p>
            <w:pPr>
              <w:jc w:val="left"/>
              <w:spacing w:line="240" w:lineRule="exact"/>
              <w:widowControl/>
              <w:rPr>
                <w:rFonts w:ascii="Times New Roman" w:hAnsi="Times New Roman" w:cs="宋体"/>
                <w:bCs/>
                <w:iCs/>
                <w:szCs w:val="18"/>
                <w:highlight w:val="yellow"/>
              </w:rPr>
            </w:pPr>
            <w:r>
              <w:rPr>
                <w:rFonts w:hint="eastAsia" w:ascii="Times New Roman" w:hAnsi="Times New Roman" w:cs="宋体"/>
                <w:bCs/>
                <w:iCs/>
                <w:szCs w:val="18"/>
              </w:rPr>
              <w:t xml:space="preserve">○产品工作在空闲状态下，产品的声功率级应不超过 4.5 Bel。</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整机散热</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rPr>
                <w:rFonts w:ascii="Times New Roman" w:hAnsi="Times New Roman"/>
              </w:rPr>
            </w:pPr>
            <w:r>
              <w:rPr>
                <w:rFonts w:hint="eastAsia" w:ascii="Times New Roman" w:hAnsi="Times New Roman" w:cs="宋体"/>
                <w:szCs w:val="18"/>
              </w:rPr>
              <w:t xml:space="preserve">整机能效限定值</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产品能效限定值应达到GB28380-2012标准中能效等级2级及以上。</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机身材质</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金属。</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机身颜色</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灰色/黑色等商务色系。</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产品 </w:t>
            </w:r>
            <w:r>
              <w:rPr>
                <w:rFonts w:ascii="Times New Roman" w:hAnsi="Times New Roman"/>
                <w:szCs w:val="18"/>
              </w:rPr>
              <w:t xml:space="preserve"> </w:t>
            </w:r>
            <w:r>
              <w:rPr>
                <w:rFonts w:hint="eastAsia" w:ascii="Times New Roman" w:hAnsi="Times New Roman"/>
                <w:szCs w:val="18"/>
              </w:rPr>
              <w:t xml:space="preserve">规格</w:t>
            </w:r>
            <w:r/>
          </w:p>
        </w:tc>
        <w:tc>
          <w:tcPr>
            <w:tcW w:w="638" w:type="pct"/>
            <w:vAlign w:val="center"/>
            <w:vMerge w:val="continue"/>
            <w:textDirection w:val="lrTb"/>
            <w:noWrap w:val="false"/>
          </w:tcPr>
          <w:p>
            <w:pPr>
              <w:jc w:val="cente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机箱尺寸容量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机箱体积应不大于9L。</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76</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性能要求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cs="宋体"/>
                <w:szCs w:val="18"/>
              </w:rPr>
              <w:t xml:space="preserve">CPU性能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CPU物理核数</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≥8</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CPU主频</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≥3GHz。 </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CPU末级缓存容量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≥16MB。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79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CPU支持的内存最高速率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○≥2666MT/s。</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内存性能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内存读写速率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○≥2666MT/s。</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显卡性能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显示分辨率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○≥1920x1080。</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显卡显示芯片核心频率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○≥300MHz。</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显存等效频率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○≥1000MT/s。</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显卡可支持多屏同时显示数量</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显卡应支持2块屏幕同时显示，分辨率应不低于1920×1080。</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显示设备性能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显示屏刷新率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○≥75Hz。</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显示屏位深</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○≥8位。</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显示屏色域</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○≥99% sRGB。</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显示屏色准</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○△E≤4</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89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显示屏响应时间</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w:t>
            </w:r>
            <w:r>
              <w:rPr>
                <w:rFonts w:ascii="Times New Roman" w:hAnsi="Times New Roman" w:cs="宋体"/>
                <w:bCs/>
                <w:iCs/>
                <w:szCs w:val="18"/>
              </w:rPr>
              <w:t xml:space="preserve">8</w:t>
            </w:r>
            <w:r>
              <w:rPr>
                <w:rFonts w:hint="eastAsia" w:ascii="Times New Roman" w:hAnsi="Times New Roman" w:cs="宋体"/>
                <w:bCs/>
                <w:iCs/>
                <w:szCs w:val="18"/>
              </w:rPr>
              <w:t xml:space="preserve">ms。</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显示屏亮度</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○≥250尼特。</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显示屏亮度一致性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○≥70%</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显示屏对比度</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w:t>
            </w:r>
            <w:r>
              <w:rPr>
                <w:rFonts w:ascii="Times New Roman" w:hAnsi="Times New Roman" w:cs="宋体"/>
                <w:bCs/>
                <w:iCs/>
                <w:szCs w:val="18"/>
              </w:rPr>
              <w:t xml:space="preserve">5</w:t>
            </w:r>
            <w:r>
              <w:rPr>
                <w:rFonts w:hint="eastAsia" w:ascii="Times New Roman" w:hAnsi="Times New Roman" w:cs="宋体"/>
                <w:bCs/>
                <w:iCs/>
                <w:szCs w:val="18"/>
              </w:rPr>
              <w:t xml:space="preserve">00：1</w:t>
            </w:r>
            <w:r>
              <w:rPr>
                <w:rFonts w:ascii="Times New Roman" w:hAnsi="Times New Roman" w:cs="宋体"/>
                <w:bCs/>
                <w:iCs/>
                <w:szCs w:val="18"/>
              </w:rPr>
              <w:t xml:space="preserve"> </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显示屏其他参数</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其它参数应符合 SJ/T 11292 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性能要求</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网络设备性能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有线网卡速率</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最高速率应不低于1000Mbps，应支持10Mbps、100Mbps、1000Mbps速率自适应。</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主板功能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内存扩展接口(板载内存不涉及)</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≥2个。</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存储扩展接口(板载存储不涉及)</w:t>
            </w:r>
            <w:r/>
          </w:p>
        </w:tc>
        <w:tc>
          <w:tcPr>
            <w:tcW w:w="2532" w:type="pct"/>
            <w:vAlign w:val="center"/>
            <w:textDirection w:val="lrTb"/>
            <w:noWrap w:val="false"/>
          </w:tcPr>
          <w:p>
            <w:pPr>
              <w:jc w:val="left"/>
              <w:spacing w:line="240" w:lineRule="exact"/>
              <w:widowControl/>
              <w:rPr>
                <w:rFonts w:ascii="Times New Roman" w:hAnsi="Times New Roman" w:cs="宋体"/>
                <w:b/>
                <w:iCs/>
                <w:szCs w:val="18"/>
              </w:rPr>
            </w:pPr>
            <w:r>
              <w:rPr>
                <w:rFonts w:hint="eastAsia" w:ascii="Times New Roman" w:hAnsi="Times New Roman" w:cs="宋体"/>
                <w:b/>
                <w:iCs/>
                <w:szCs w:val="18"/>
              </w:rPr>
              <w:t xml:space="preserve">供应商</w:t>
            </w:r>
            <w:r>
              <w:rPr>
                <w:rFonts w:hint="eastAsia" w:ascii="Times New Roman" w:hAnsi="Times New Roman" w:cs="宋体"/>
                <w:b/>
                <w:iCs/>
                <w:szCs w:val="21"/>
              </w:rPr>
              <w:t xml:space="preserve">在投标文件中</w:t>
            </w:r>
            <w:r>
              <w:rPr>
                <w:rFonts w:hint="eastAsia" w:ascii="Times New Roman" w:hAnsi="Times New Roman" w:cs="宋体"/>
                <w:b/>
                <w:iCs/>
                <w:szCs w:val="18"/>
              </w:rPr>
              <w:t xml:space="preserve">给出主板支持存储扩展接口类型，如UFS3.0、SATA3.0、SAS3.0、M.2等类型接口。</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主板USB瞬间过流保护</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支持有瞬间过流保护功能。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主板防静电保护</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支持防静电保护功能。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99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I/O接口功能</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显卡功能</w:t>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显卡外接显示接口</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显卡至少支持VGA、HDMI、DVI、DP、Type-C中1种显示接口，并与显示器接口相匹配。</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独立显卡数量</w:t>
            </w:r>
            <w:r/>
          </w:p>
        </w:tc>
        <w:tc>
          <w:tcPr>
            <w:tcW w:w="2532" w:type="pct"/>
            <w:vAlign w:val="center"/>
            <w:textDirection w:val="lrTb"/>
            <w:noWrap w:val="false"/>
          </w:tcPr>
          <w:p>
            <w:pPr>
              <w:jc w:val="left"/>
              <w:spacing w:line="240" w:lineRule="exact"/>
              <w:widowControl/>
              <w:rPr>
                <w:rFonts w:ascii="Times New Roman" w:hAnsi="Times New Roman" w:cs="宋体"/>
                <w:bCs/>
                <w:i/>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 </w:t>
            </w:r>
            <w:r>
              <w:rPr>
                <w:rFonts w:hint="eastAsia" w:ascii="Times New Roman" w:hAnsi="Times New Roman" w:cs="宋体"/>
                <w:bCs/>
                <w:i/>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显示设备功能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显示器接口</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显示器应与显卡外接显示接口匹配。</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显示器支架</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显示器应提供显示器支架。</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显示器参数调节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提供OSD选单按钮用于调节色彩、模式等；支持色温、亮度、对比度调节。</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外设功能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摄像头物理隐私保护开关</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支持物理隐私保护开关。</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键盘背光</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支持键盘背光。</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光驱功能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光驱应支持只读、刻录等类型；最大读取速度 CD 不低于 24×150KB/s；最大读取速度DVD不低于8×358KB/s；最大刻录速度CD不低于24×150KB/s；最大刻录速度 DVD 不低于 6×1358KB/s；兼容光盘类型包含只读光盘、可读写光盘、可擦写光盘等。</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存储功能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存储功能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通过SATA固态存储/PCIe固态存储/UFS固态存储/SATA硬磁盘等存储部件提供存储功能。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109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内置控制器固态存储加密</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固态存储通过内置控制器硬件支持加密，不依赖处理器，保障数据安全性，但不得影响存储性能。支持加密功能，且加密功能开启不影响SSD读写性能；支持固件加密、安全启动和安全升级；支持数据的安全擦除。</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网络设备功能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网络功能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支持网络连接、网络开启/关闭功能；支持访问网络和数据交换功能。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物理开关</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支持网络设备物理开关。</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数据传输</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支持数据传输能力，并提供数据流量和异常日志记录功能。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蓝牙协议</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若支持蓝牙模块，蓝牙协议不低于5.0版本。</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有线网卡接口类型</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支持RJ45接口。</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网络设备拆装</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网络设备支持物理拆装，包括无线网卡和蓝牙模块等。</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外部接口功能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音频接口类型</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支持3.5mm孔径3段式或4段式接口。</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视频接口类型</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至少支持 VGA、HDMI、DVI、DP、Type-C中 1 种显示接口。</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HDMI、DP、Type-C显示接口要求</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若提供HDMI或DP或Type-C作为显示接口，应支持音频和视频同步输出。</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119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其他接口</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a)支持串行接口，可实现GB/T6107的功能；b)支持并行接口，可实现GB/T18235.1的功能。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电源功能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电源线适配能力</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电源≥200W电源适配器电线组件应符合GB/T15934的要求，可拆线的插头和连接器可以不做要求。</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操作系统及软件功能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中文信息处理要求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 18030的相关规定。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操作系统备份及还原功能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支持操作系统备份及还原功能。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固件备份还原能力</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支持备份及还原固件的功能。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操作系统及驱动升级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支持通过网络、闪存盘等方式对操作系统、驱动进行升级。</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固件升级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支持通过网络、闪存盘等方式对固件进行升级。</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BIOS支持关闭通讯接口</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支持BIOS关闭以太网及USB接口。</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固件查看信息</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支持查看固件版本、内存信息、主板信息、处理器信息和系统时间信息等功能。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固件设置启动顺序</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支持设置启动顺序功能，并按照设置的启动顺序启动。</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129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固件设置口令</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支持设置口令、修改口令、验证口令功能。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130</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固件设置网络引导</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支持网络引导启动和关闭功能。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131</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备份还原功能</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宋体"/>
                <w:bCs/>
                <w:iCs/>
                <w:szCs w:val="18"/>
              </w:rPr>
              <w:t xml:space="preserve">○</w:t>
            </w:r>
            <w:r>
              <w:rPr>
                <w:rFonts w:hint="eastAsia" w:ascii="Times New Roman" w:hAnsi="Times New Roman" w:cs="仿宋"/>
                <w:szCs w:val="18"/>
                <w:lang w:bidi="ar"/>
              </w:rPr>
              <w:t xml:space="preserve">系统默认提供备份还原工具，支持数据备份、数据还原，支持系统全量备份、系统增量回溯备份，提供一键还原、一键Ghost等功能。</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132</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安全功能/特性</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宋体"/>
                <w:bCs/>
                <w:iCs/>
                <w:szCs w:val="18"/>
              </w:rPr>
              <w:t xml:space="preserve">○</w:t>
            </w:r>
            <w:r>
              <w:rPr>
                <w:rFonts w:hint="eastAsia" w:ascii="Times New Roman" w:hAnsi="Times New Roman" w:cs="仿宋"/>
                <w:szCs w:val="18"/>
                <w:lang w:bidi="ar"/>
              </w:rPr>
              <w:t xml:space="preserve">①提供系统级文件保护箱功能：单用户可以创建不少于3个不同密码的文件保护箱，支持导入、导出保护箱、重命名、修改密码等操作，实现用户之间数据严格隔离，有效保护用户隐私数据。</w:t>
            </w:r>
            <w:r>
              <w:rPr>
                <w:rFonts w:hint="eastAsia" w:ascii="Times New Roman" w:hAnsi="Times New Roman" w:cs="仿宋"/>
                <w:b/>
                <w:bCs/>
                <w:szCs w:val="18"/>
                <w:lang w:bidi="ar"/>
              </w:rPr>
              <w:t xml:space="preserve">（提供上述功能截图证明）</w:t>
            </w:r>
            <w:r>
              <w:rPr>
                <w:rFonts w:hint="eastAsia" w:ascii="Times New Roman" w:hAnsi="Times New Roman" w:cs="仿宋"/>
                <w:szCs w:val="18"/>
                <w:lang w:bidi="ar"/>
              </w:rPr>
              <w:t xml:space="preserve">；②提供自研入侵检测工具，可检测已知和未知入侵行为，实时检测预警，支持包括但不限于恶意IP的自动阻断、接入杀毒软件以及流量分析告警软件内容和基于AI的恶意流量分析等能力</w:t>
            </w:r>
            <w:r>
              <w:rPr>
                <w:rFonts w:hint="eastAsia" w:ascii="Times New Roman" w:hAnsi="Times New Roman" w:cs="仿宋"/>
                <w:b/>
                <w:bCs/>
                <w:szCs w:val="18"/>
                <w:lang w:bidi="ar"/>
              </w:rPr>
              <w:t xml:space="preserve">（提供上述功能截图证明）</w:t>
            </w:r>
            <w:r>
              <w:rPr>
                <w:rFonts w:hint="eastAsia" w:ascii="Times New Roman" w:hAnsi="Times New Roman" w:cs="仿宋"/>
                <w:szCs w:val="18"/>
                <w:lang w:bidi="ar"/>
              </w:rPr>
              <w:t xml:space="preserve">；③支持内核和核外自主研发的安全访问框架，系统可支持强制访问控制，并可提供多种机制联合的强制访问控制安全策略，包括自研安全框架、SELINUX、APPARMOR、box等</w:t>
            </w:r>
            <w:r>
              <w:rPr>
                <w:rFonts w:hint="eastAsia" w:ascii="Times New Roman" w:hAnsi="Times New Roman" w:cs="仿宋"/>
                <w:b/>
                <w:bCs/>
                <w:szCs w:val="18"/>
                <w:lang w:bidi="ar"/>
              </w:rPr>
              <w:t xml:space="preserve">（提供上述功能截图证明）</w:t>
            </w:r>
            <w:r>
              <w:rPr>
                <w:rFonts w:hint="eastAsia" w:ascii="Times New Roman" w:hAnsi="Times New Roman" w:cs="仿宋"/>
                <w:szCs w:val="18"/>
                <w:lang w:bidi="ar"/>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133</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维护体验</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宋体"/>
                <w:bCs/>
                <w:iCs/>
                <w:szCs w:val="18"/>
              </w:rPr>
              <w:t xml:space="preserve">○①操作系统默认集成图形化故障诊断工具，针对但不限于对网络硬件、驱动、服务、配置和系统更新的关键库、引导分区空间、仓库地址等项的一键问题排查快速定位，对可修复问题支持一键自动修复，无法修复问题提供一键技服支撑</w:t>
            </w:r>
            <w:r>
              <w:rPr>
                <w:rFonts w:hint="eastAsia" w:ascii="Times New Roman" w:hAnsi="Times New Roman" w:cs="宋体"/>
                <w:b/>
                <w:iCs/>
                <w:szCs w:val="18"/>
              </w:rPr>
              <w:t xml:space="preserve">（提供上述功能截图证明）</w:t>
            </w:r>
            <w:r>
              <w:rPr>
                <w:rFonts w:hint="eastAsia" w:ascii="Times New Roman" w:hAnsi="Times New Roman" w:cs="宋体"/>
                <w:bCs/>
                <w:iCs/>
                <w:szCs w:val="18"/>
              </w:rPr>
              <w:t xml:space="preserve">；②系统支持电源能耗管理，可通过资源动态调度开启，减少后台进程资源占用，确保关键应用流畅运行;终端界面进入管理员模式时，密码输入提供可视化反馈,确保有效输入</w:t>
            </w:r>
            <w:r>
              <w:rPr>
                <w:rFonts w:hint="eastAsia" w:ascii="Times New Roman" w:hAnsi="Times New Roman" w:cs="宋体"/>
                <w:b/>
                <w:iCs/>
                <w:szCs w:val="18"/>
              </w:rPr>
              <w:t xml:space="preserve">（提供上述功能截图证明）</w:t>
            </w:r>
            <w:r>
              <w:rPr>
                <w:rFonts w:hint="eastAsia" w:ascii="Times New Roman" w:hAnsi="Times New Roman" w:cs="宋体"/>
                <w:bCs/>
                <w:iCs/>
                <w:szCs w:val="18"/>
              </w:rPr>
              <w:t xml:space="preserve">。</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134</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产品服务</w:t>
            </w:r>
            <w:r/>
          </w:p>
        </w:tc>
        <w:tc>
          <w:tcPr>
            <w:tcW w:w="2532" w:type="pct"/>
            <w:vAlign w:val="center"/>
            <w:textDirection w:val="lrTb"/>
            <w:noWrap w:val="false"/>
          </w:tcPr>
          <w:p>
            <w:pPr>
              <w:jc w:val="left"/>
              <w:spacing w:line="240" w:lineRule="exact"/>
              <w:widowControl/>
              <w:rPr>
                <w:rFonts w:ascii="Times New Roman" w:hAnsi="Times New Roman" w:cs="仿宋"/>
                <w:szCs w:val="18"/>
                <w:lang w:bidi="ar"/>
              </w:rPr>
            </w:pPr>
            <w:r>
              <w:rPr>
                <w:rFonts w:hint="eastAsia" w:ascii="Times New Roman" w:hAnsi="Times New Roman" w:cs="宋体"/>
                <w:bCs/>
                <w:iCs/>
                <w:szCs w:val="18"/>
              </w:rPr>
              <w:t xml:space="preserve">○</w:t>
            </w:r>
            <w:r>
              <w:rPr>
                <w:rFonts w:hint="eastAsia" w:ascii="Times New Roman" w:hAnsi="Times New Roman" w:cs="仿宋"/>
                <w:szCs w:val="18"/>
                <w:lang w:bidi="ar"/>
              </w:rPr>
              <w:t xml:space="preserve">提供国产正版化操作系统软件(非OEM版本)，含原厂服务。项目验收阶段提供系统厂商出具的纸质或电子版本的"产品许可证书”作为软件正版化检查的依据。</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生物识别功能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指纹识别</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指纹识别功能符合GB/T37742的相关规定。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人脸识别</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人脸识别功能符合GB/T37036.3的相关规定。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静脉识别</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指静脉识别功能符合GB/T33135的相关规定。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硬件加速功能</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NPU/GPU等AI加速模块</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支持NPU/GPU等AI加速模块。</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139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视频编解码加速模块</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支持视频编解码加速模块。</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功能要求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影像处理加速模块</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支持影像处理加速模块。</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141</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可靠性要求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存储设备可靠性</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固态存储寿命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○TBW≥80TB（条件：</w:t>
            </w:r>
            <w:r>
              <w:rPr>
                <w:rFonts w:ascii="Times New Roman" w:hAnsi="Times New Roman" w:cs="宋体"/>
                <w:bCs/>
                <w:iCs/>
                <w:szCs w:val="18"/>
              </w:rPr>
              <w:t xml:space="preserve">240</w:t>
            </w:r>
            <w:r>
              <w:rPr>
                <w:rFonts w:hint="eastAsia" w:ascii="Times New Roman" w:hAnsi="Times New Roman" w:cs="宋体"/>
                <w:bCs/>
                <w:iCs/>
                <w:szCs w:val="18"/>
              </w:rPr>
              <w:t xml:space="preserve">GB硬盘容量）。</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142</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jc w:val="cente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机械硬盘寿命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○通电时间≥5万小时。</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显示设备可靠性</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显示屏屏幕失效点</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符合GB/T9813.2的要求。</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外设可靠性</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键盘按键寿命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≥1000万次。</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鼠标按键寿命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≥500万次。</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键盘鼠标线材寿命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键盘鼠标所用线材经±60°弯折不低于3000次，功能、外观完好。</w:t>
            </w:r>
            <w:r/>
          </w:p>
        </w:tc>
      </w:tr>
      <w:tr>
        <w:trPr>
          <w:trHeight w:val="582"/>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风扇寿命</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≥4万小时。</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整机可靠性要求</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电磁兼容性要求的抗扰度</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符合GB/T9254.2的规定。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149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环境条件要求的气候环境适应性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符合GB/T9813.1中规定。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环境条件要求的振动适应性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符合GB/T9813.1中规定。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环境条件要求的冲击适应性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符合GB/T9813.1中规定。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环境条件要求的碰撞适应性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符合GB/T9813.1中规定。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环境条件要求的运输包装件跌落适应性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符合GB/T9813.1中规定。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154</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可靠性要求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MTBF</w:t>
            </w:r>
            <w:r/>
          </w:p>
        </w:tc>
        <w:tc>
          <w:tcPr>
            <w:tcW w:w="2532"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★MTBF(m1)≥3 万小时</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兼容要求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兼容要求</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常用软件兼容</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○支持流式软件、版式软件、浏览器、邮件采购人端、解压软件、多媒体、图形图像处理等常用软件。</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兼容要求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数据库兼容</w:t>
            </w:r>
            <w:r/>
          </w:p>
        </w:tc>
        <w:tc>
          <w:tcPr>
            <w:tcW w:w="2532" w:type="pct"/>
            <w:vAlign w:val="center"/>
            <w:textDirection w:val="lrTb"/>
            <w:noWrap w:val="false"/>
          </w:tcPr>
          <w:p>
            <w:pPr>
              <w:rPr>
                <w:rFonts w:ascii="Times New Roman" w:hAnsi="Times New Roman"/>
              </w:rPr>
            </w:pPr>
            <w:r>
              <w:rPr>
                <w:rFonts w:hint="eastAsia" w:ascii="Times New Roman" w:hAnsi="Times New Roman" w:cs="宋体"/>
                <w:bCs/>
                <w:iCs/>
                <w:szCs w:val="18"/>
              </w:rPr>
              <w:t xml:space="preserve">○兼容3个及以上厂商的数据库产品。</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兼容要求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中间件兼容</w:t>
            </w:r>
            <w:r/>
          </w:p>
        </w:tc>
        <w:tc>
          <w:tcPr>
            <w:tcW w:w="2532" w:type="pct"/>
            <w:vAlign w:val="center"/>
            <w:textDirection w:val="lrTb"/>
            <w:noWrap w:val="false"/>
          </w:tcPr>
          <w:p>
            <w:pPr>
              <w:rPr>
                <w:rFonts w:ascii="Times New Roman" w:hAnsi="Times New Roman"/>
              </w:rPr>
            </w:pPr>
            <w:r>
              <w:rPr>
                <w:rFonts w:hint="eastAsia" w:ascii="Times New Roman" w:hAnsi="Times New Roman" w:cs="宋体"/>
                <w:bCs/>
                <w:iCs/>
                <w:szCs w:val="18"/>
              </w:rPr>
              <w:t xml:space="preserve">○兼容3个及以上厂商中间件产品。</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兼容要求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平台软件兼容</w:t>
            </w:r>
            <w:r/>
          </w:p>
        </w:tc>
        <w:tc>
          <w:tcPr>
            <w:tcW w:w="2532" w:type="pct"/>
            <w:vAlign w:val="center"/>
            <w:textDirection w:val="lrTb"/>
            <w:noWrap w:val="false"/>
          </w:tcPr>
          <w:p>
            <w:pPr>
              <w:rPr>
                <w:rFonts w:ascii="Times New Roman" w:hAnsi="Times New Roman"/>
              </w:rPr>
            </w:pPr>
            <w:r>
              <w:rPr>
                <w:rFonts w:hint="eastAsia" w:ascii="Times New Roman" w:hAnsi="Times New Roman" w:cs="宋体"/>
                <w:bCs/>
                <w:iCs/>
                <w:szCs w:val="18"/>
              </w:rPr>
              <w:t xml:space="preserve">○兼容3个及以上厂商云计算及大数据平台。</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159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包装及运输要求</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包装及运输要求</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标志、包装、运输和贮存</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符合GB/T9813.1和商品包装政府采购需求标准的相关规定。</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服务要求</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配置检查工具</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供应商提供自检测试工具。</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服务响应</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电话、电子邮件、远程连接等多种形式服务；供应商提供同城4h、异地12h技术响应服务，2个工作日解决问题，对于未能解决的问题和故障应提供可行的升级方案，并提供周转设备或更换设备；建立全国技术服务体系和服务团体，符合专业服务体系标准要求，</w:t>
            </w:r>
            <w:bookmarkStart w:id="129" w:name="_Hlk209008445"/>
            <w:r>
              <w:rPr>
                <w:rFonts w:hint="eastAsia" w:ascii="Times New Roman" w:hAnsi="Times New Roman" w:cs="宋体"/>
                <w:bCs/>
                <w:iCs/>
                <w:szCs w:val="18"/>
              </w:rPr>
              <w:t xml:space="preserve">提供原厂中文服务；</w:t>
            </w:r>
            <w:bookmarkEnd w:id="129"/>
            <w:r>
              <w:rPr>
                <w:rFonts w:hint="eastAsia" w:ascii="Times New Roman" w:hAnsi="Times New Roman" w:cs="宋体"/>
                <w:bCs/>
                <w:iCs/>
                <w:szCs w:val="18"/>
              </w:rPr>
              <w:t xml:space="preserve">服务周期内提供产品的维修、换件和升级服务。</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服务周期</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设备停产后应继续提供质量保障服务（含备品备件），服务终止时间与最后一批设备交付时间间隔不低于6年；产品停止服务时间应提前1年告知；应明确产品发布日期。</w:t>
            </w:r>
            <w:r/>
          </w:p>
        </w:tc>
      </w:tr>
      <w:tr>
        <w:trPr>
          <w:trHeight w:val="90"/>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b/>
                <w:bCs/>
                <w:szCs w:val="18"/>
              </w:rPr>
            </w:pPr>
            <w:r>
              <w:rPr>
                <w:rFonts w:hint="eastAsia" w:ascii="Times New Roman" w:hAnsi="Times New Roman" w:cs="宋体"/>
                <w:b/>
                <w:bCs/>
                <w:szCs w:val="18"/>
              </w:rPr>
              <w:t xml:space="preserve">预装操作系统</w:t>
            </w:r>
            <w:r/>
          </w:p>
        </w:tc>
        <w:tc>
          <w:tcPr>
            <w:tcW w:w="2532" w:type="pct"/>
            <w:vAlign w:val="center"/>
            <w:textDirection w:val="lrTb"/>
            <w:noWrap w:val="false"/>
          </w:tcPr>
          <w:p>
            <w:pPr>
              <w:jc w:val="left"/>
              <w:spacing w:line="240" w:lineRule="exact"/>
              <w:widowControl/>
              <w:rPr>
                <w:rFonts w:ascii="Times New Roman" w:hAnsi="Times New Roman" w:cs="宋体"/>
                <w:b/>
                <w:bCs/>
                <w:iCs/>
                <w:szCs w:val="18"/>
              </w:rPr>
            </w:pPr>
            <w:r>
              <w:rPr>
                <w:rFonts w:hint="eastAsia" w:ascii="Times New Roman" w:hAnsi="Times New Roman" w:cs="仿宋"/>
                <w:b/>
                <w:bCs/>
                <w:szCs w:val="18"/>
                <w:lang w:bidi="ar"/>
              </w:rPr>
              <w:t xml:space="preserve">★</w:t>
            </w:r>
            <w:r>
              <w:rPr>
                <w:rFonts w:hint="eastAsia" w:ascii="Times New Roman" w:hAnsi="Times New Roman" w:cs="宋体"/>
                <w:b/>
                <w:bCs/>
                <w:iCs/>
                <w:szCs w:val="18"/>
              </w:rPr>
              <w:t xml:space="preserve">预装符合桌面操作系统政府采购需求标准的正版操作系统。</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培训服务</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供应商提供培训材料、产品手册、培训视频等培训相关内容。</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典型问题解决手册</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供应商提供典型问题解决说明文档或视频。</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厂家升级软件与扩容服务</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供应商提供上门升级部件/软件与扩容的增值服务。</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整机质量服务要求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○免费服务周期（含换件和维修）应不小于3年。</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合格证书要求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供应商提供产品合格证。</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169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开箱组装/使用指导要求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供应商提供开箱组装/使用指导。</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驱动下载服务要求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供应商提供驱动光盘或下载方式。</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171</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兼容适配软件下载服务要求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供应商提供兼容适配软件下载渠道（光盘、网站）。</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172</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服务要求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跨架构平台应用兼容</w:t>
            </w:r>
            <w:r/>
          </w:p>
        </w:tc>
        <w:tc>
          <w:tcPr>
            <w:tcW w:w="2532"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供应商提供跨架构平台的应用兼容工具，支持一种或者一种以上不同架构平台的应用。</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173</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供应链合规性</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供应链合规性</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产品部件保障</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○供应商保障产品主要部件，提供6年的备件服务能力（自购买之日起），或提供可兼容原设备的升级换代产品。</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174</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供应链质量</w:t>
            </w:r>
            <w:r/>
          </w:p>
        </w:tc>
        <w:tc>
          <w:tcPr>
            <w:tcW w:w="638" w:type="pct"/>
            <w:vAlign w:val="center"/>
            <w:vMerge w:val="restart"/>
            <w:textDirection w:val="lrTb"/>
            <w:noWrap w:val="false"/>
          </w:tcPr>
          <w:p>
            <w:pPr>
              <w:rPr>
                <w:rFonts w:ascii="Times New Roman" w:hAnsi="Times New Roman"/>
                <w:szCs w:val="18"/>
              </w:rPr>
            </w:pPr>
            <w:r>
              <w:rPr>
                <w:rFonts w:hint="eastAsia" w:ascii="Times New Roman" w:hAnsi="Times New Roman"/>
                <w:szCs w:val="18"/>
              </w:rPr>
              <w:t xml:space="preserve">供应链质量</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抗干扰性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当产品部件出现供应风险时，供应商应通知采购人并提供风险应对方案确保产品的服务保障。</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175</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供应链质量</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供应能力证明</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b/>
                <w:bCs/>
                <w:szCs w:val="18"/>
                <w:lang w:bidi="ar"/>
              </w:rPr>
              <w:t xml:space="preserve">★</w:t>
            </w:r>
            <w:r>
              <w:rPr>
                <w:rFonts w:hint="eastAsia" w:ascii="Times New Roman" w:hAnsi="Times New Roman" w:cs="宋体"/>
                <w:b/>
                <w:bCs/>
                <w:iCs/>
                <w:szCs w:val="18"/>
              </w:rPr>
              <w:t xml:space="preserve">供应商</w:t>
            </w:r>
            <w:r>
              <w:rPr>
                <w:rFonts w:hint="eastAsia" w:ascii="Times New Roman" w:hAnsi="Times New Roman" w:cs="宋体"/>
                <w:b/>
                <w:bCs/>
                <w:iCs/>
                <w:szCs w:val="21"/>
              </w:rPr>
              <w:t xml:space="preserve">在投标文件中</w:t>
            </w:r>
            <w:r>
              <w:rPr>
                <w:rFonts w:hint="eastAsia" w:ascii="Times New Roman" w:hAnsi="Times New Roman" w:cs="宋体"/>
                <w:b/>
                <w:bCs/>
                <w:iCs/>
                <w:szCs w:val="18"/>
              </w:rPr>
              <w:t xml:space="preserve">提供供应链稳定承诺书，确保产品的部件在产品服务周期内稳定供货。</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176</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关键部件安全要求</w:t>
            </w:r>
            <w:r/>
          </w:p>
        </w:tc>
        <w:tc>
          <w:tcPr>
            <w:tcW w:w="638" w:type="pct"/>
            <w:vAlign w:val="center"/>
            <w:textDirection w:val="lrTb"/>
            <w:noWrap w:val="false"/>
          </w:tcPr>
          <w:p>
            <w:pPr>
              <w:jc w:val="center"/>
              <w:rPr>
                <w:rFonts w:ascii="Times New Roman" w:hAnsi="Times New Roman"/>
                <w:szCs w:val="18"/>
              </w:rPr>
            </w:pPr>
            <w:r>
              <w:rPr>
                <w:rFonts w:hint="eastAsia" w:ascii="Times New Roman" w:hAnsi="Times New Roman" w:cs="宋体"/>
                <w:szCs w:val="18"/>
              </w:rPr>
              <w:t xml:space="preserve">关键部件安全要求</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关键部件安全要求</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CPU 和操作系统等关键部件应当符合安全可靠测评要求。</w:t>
            </w:r>
            <w:r/>
          </w:p>
        </w:tc>
      </w:tr>
      <w:tr>
        <w:trPr/>
        <w:tc>
          <w:tcPr>
            <w:tcW w:w="421" w:type="pct"/>
            <w:vAlign w:val="center"/>
            <w:textDirection w:val="lrTb"/>
            <w:noWrap w:val="false"/>
          </w:tcPr>
          <w:p>
            <w:pPr>
              <w:jc w:val="center"/>
              <w:rPr>
                <w:rFonts w:ascii="Times New Roman" w:hAnsi="Times New Roman"/>
              </w:rPr>
            </w:pPr>
            <w:r>
              <w:rPr>
                <w:rFonts w:ascii="Times New Roman" w:hAnsi="Times New Roman"/>
              </w:rPr>
              <w:t xml:space="preserve">177</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整机安全性要求</w:t>
            </w:r>
            <w:r/>
          </w:p>
        </w:tc>
        <w:tc>
          <w:tcPr>
            <w:tcW w:w="638" w:type="pct"/>
            <w:vAlign w:val="center"/>
            <w:vMerge w:val="restart"/>
            <w:textDirection w:val="lrTb"/>
            <w:noWrap w:val="false"/>
          </w:tcPr>
          <w:p>
            <w:pPr>
              <w:jc w:val="center"/>
              <w:rPr>
                <w:rFonts w:ascii="Times New Roman" w:hAnsi="Times New Roman"/>
                <w:szCs w:val="18"/>
              </w:rPr>
            </w:pPr>
            <w:r>
              <w:rPr>
                <w:rFonts w:hint="eastAsia" w:ascii="Times New Roman" w:hAnsi="Times New Roman"/>
                <w:szCs w:val="18"/>
              </w:rPr>
              <w:t xml:space="preserve">整机安全性要求</w:t>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密码算法实现</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CPU芯片应符合GM/T</w:t>
            </w:r>
            <w:r>
              <w:rPr>
                <w:rFonts w:ascii="Times New Roman" w:hAnsi="Times New Roman" w:cs="宋体"/>
                <w:bCs/>
                <w:iCs/>
                <w:szCs w:val="18"/>
              </w:rPr>
              <w:t xml:space="preserve"> </w:t>
            </w:r>
            <w:r>
              <w:rPr>
                <w:rFonts w:hint="eastAsia" w:ascii="Times New Roman" w:hAnsi="Times New Roman" w:cs="宋体"/>
                <w:bCs/>
                <w:iCs/>
                <w:szCs w:val="18"/>
              </w:rPr>
              <w:t xml:space="preserve">0008的相关规定，或芯片密码模块应符合GB/T37092或GM/T0028的相关规定。</w:t>
            </w:r>
            <w:r/>
          </w:p>
        </w:tc>
      </w:tr>
      <w:tr>
        <w:trPr/>
        <w:tc>
          <w:tcPr>
            <w:tcW w:w="421" w:type="pct"/>
            <w:vAlign w:val="center"/>
            <w:textDirection w:val="lrTb"/>
            <w:noWrap w:val="false"/>
          </w:tcPr>
          <w:p>
            <w:pPr>
              <w:jc w:val="center"/>
              <w:rPr>
                <w:rFonts w:ascii="Times New Roman" w:hAnsi="Times New Roman"/>
              </w:rPr>
            </w:pPr>
            <w:r>
              <w:rPr>
                <w:rFonts w:hint="eastAsia" w:ascii="Times New Roman" w:hAnsi="Times New Roman"/>
              </w:rPr>
              <w:t xml:space="preserve">178</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整机安全性要求</w:t>
            </w:r>
            <w:r/>
          </w:p>
        </w:tc>
        <w:tc>
          <w:tcPr>
            <w:tcW w:w="638" w:type="pct"/>
            <w:vAlign w:val="center"/>
            <w:vMerge w:val="continue"/>
            <w:textDirection w:val="lrTb"/>
            <w:noWrap w:val="false"/>
          </w:tcPr>
          <w:p>
            <w:pPr>
              <w:jc w:val="cente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USB端口管控</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支持USB端口管控。</w:t>
            </w:r>
            <w:r/>
          </w:p>
        </w:tc>
      </w:tr>
      <w:tr>
        <w:trPr/>
        <w:tc>
          <w:tcPr>
            <w:tcW w:w="421" w:type="pct"/>
            <w:vAlign w:val="center"/>
            <w:textDirection w:val="lrTb"/>
            <w:noWrap w:val="false"/>
          </w:tcPr>
          <w:p>
            <w:pPr>
              <w:jc w:val="center"/>
              <w:rPr>
                <w:rFonts w:ascii="Times New Roman" w:hAnsi="Times New Roman"/>
              </w:rPr>
            </w:pPr>
            <w:r>
              <w:rPr>
                <w:rFonts w:hint="eastAsia" w:ascii="Times New Roman" w:hAnsi="Times New Roman"/>
              </w:rPr>
              <w:t xml:space="preserve">179</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安全要求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jc w:val="left"/>
              <w:spacing w:line="240" w:lineRule="exact"/>
              <w:widowControl/>
              <w:rPr>
                <w:rFonts w:ascii="Times New Roman" w:hAnsi="Times New Roman" w:cs="宋体"/>
                <w:szCs w:val="18"/>
              </w:rPr>
            </w:pPr>
            <w:r>
              <w:rPr>
                <w:rFonts w:hint="eastAsia" w:ascii="Times New Roman" w:hAnsi="Times New Roman" w:cs="宋体"/>
                <w:szCs w:val="18"/>
              </w:rPr>
              <w:t xml:space="preserve">安全物理锁</w:t>
            </w:r>
            <w:r/>
          </w:p>
        </w:tc>
        <w:tc>
          <w:tcPr>
            <w:tcW w:w="2532" w:type="pct"/>
            <w:vAlign w:val="center"/>
            <w:textDirection w:val="lrTb"/>
            <w:noWrap w:val="false"/>
          </w:tcPr>
          <w:p>
            <w:pPr>
              <w:jc w:val="left"/>
              <w:spacing w:line="240" w:lineRule="exact"/>
              <w:widowControl/>
              <w:rPr>
                <w:rFonts w:ascii="Times New Roman" w:hAnsi="Times New Roman" w:cs="宋体"/>
                <w:bCs/>
                <w:iCs/>
                <w:szCs w:val="18"/>
              </w:rPr>
            </w:pPr>
            <w:r>
              <w:rPr>
                <w:rFonts w:hint="eastAsia" w:ascii="Times New Roman" w:hAnsi="Times New Roman" w:cs="宋体"/>
                <w:bCs/>
                <w:iCs/>
                <w:szCs w:val="18"/>
              </w:rPr>
              <w:t xml:space="preserve">支持安全物理锁。</w:t>
            </w:r>
            <w:r/>
          </w:p>
        </w:tc>
      </w:tr>
      <w:tr>
        <w:trPr/>
        <w:tc>
          <w:tcPr>
            <w:tcW w:w="421" w:type="pct"/>
            <w:vAlign w:val="center"/>
            <w:textDirection w:val="lrTb"/>
            <w:noWrap w:val="false"/>
          </w:tcPr>
          <w:p>
            <w:pPr>
              <w:jc w:val="center"/>
              <w:rPr>
                <w:rFonts w:ascii="Times New Roman" w:hAnsi="Times New Roman"/>
              </w:rPr>
            </w:pPr>
            <w:r>
              <w:rPr>
                <w:rFonts w:hint="eastAsia" w:ascii="Times New Roman" w:hAnsi="Times New Roman"/>
              </w:rPr>
              <w:t xml:space="preserve">180</w:t>
            </w:r>
            <w:r/>
          </w:p>
        </w:tc>
        <w:tc>
          <w:tcPr>
            <w:tcW w:w="428" w:type="pct"/>
            <w:vAlign w:val="center"/>
            <w:textDirection w:val="lrTb"/>
            <w:noWrap w:val="false"/>
          </w:tcPr>
          <w:p>
            <w:pPr>
              <w:jc w:val="center"/>
              <w:rPr>
                <w:rFonts w:ascii="Times New Roman" w:hAnsi="Times New Roman"/>
              </w:rPr>
            </w:pPr>
            <w:r>
              <w:rPr>
                <w:rFonts w:hint="eastAsia" w:ascii="Times New Roman" w:hAnsi="Times New Roman"/>
                <w:szCs w:val="18"/>
              </w:rPr>
              <w:t xml:space="preserve">安全要求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信息安全基本要求</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产品应符合GB/T39276的5.2的规定；生产厂商应建立漏洞跟踪表，保证产品版本涉及到的漏洞(如驱动程序等)可查看；产品不得包含已知的恶意代码或漏洞，不存在未声明的指令、功能、接口。</w:t>
            </w:r>
            <w:r/>
          </w:p>
        </w:tc>
      </w:tr>
      <w:tr>
        <w:trPr/>
        <w:tc>
          <w:tcPr>
            <w:tcW w:w="421" w:type="pct"/>
            <w:vAlign w:val="center"/>
            <w:textDirection w:val="lrTb"/>
            <w:noWrap w:val="false"/>
          </w:tcPr>
          <w:p>
            <w:pPr>
              <w:jc w:val="center"/>
              <w:rPr>
                <w:rFonts w:ascii="Times New Roman" w:hAnsi="Times New Roman"/>
              </w:rPr>
            </w:pPr>
            <w:r>
              <w:rPr>
                <w:rFonts w:hint="eastAsia" w:ascii="Times New Roman" w:hAnsi="Times New Roman"/>
              </w:rPr>
              <w:t xml:space="preserve">181</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安全要求</w:t>
            </w:r>
            <w:r/>
          </w:p>
        </w:tc>
        <w:tc>
          <w:tcPr>
            <w:tcW w:w="638" w:type="pct"/>
            <w:vAlign w:val="center"/>
            <w:vMerge w:val="continue"/>
            <w:textDirection w:val="lrTb"/>
            <w:noWrap w:val="false"/>
          </w:tcPr>
          <w:p>
            <w:pPr>
              <w:rPr>
                <w:rFonts w:ascii="Times New Roman" w:hAnsi="Times New Roman"/>
                <w:szCs w:val="18"/>
              </w:rPr>
            </w:pPr>
            <w:r>
              <w:rPr>
                <w:rFonts w:ascii="Times New Roman" w:hAnsi="Times New Roman"/>
                <w:szCs w:val="18"/>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固件安全启动</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支持固件安全启动功能，固件启动过程中只有通过启动校验才能正常启动。</w:t>
            </w:r>
            <w:r/>
          </w:p>
        </w:tc>
      </w:tr>
      <w:tr>
        <w:trPr/>
        <w:tc>
          <w:tcPr>
            <w:tcW w:w="421" w:type="pct"/>
            <w:vAlign w:val="center"/>
            <w:textDirection w:val="lrTb"/>
            <w:noWrap w:val="false"/>
          </w:tcPr>
          <w:p>
            <w:pPr>
              <w:jc w:val="center"/>
              <w:rPr>
                <w:rFonts w:ascii="Times New Roman" w:hAnsi="Times New Roman"/>
              </w:rPr>
            </w:pPr>
            <w:r>
              <w:rPr>
                <w:rFonts w:hint="eastAsia" w:ascii="Times New Roman" w:hAnsi="Times New Roman"/>
              </w:rPr>
              <w:t xml:space="preserve">182</w:t>
            </w:r>
            <w:r/>
          </w:p>
        </w:tc>
        <w:tc>
          <w:tcPr>
            <w:tcW w:w="428" w:type="pct"/>
            <w:vAlign w:val="center"/>
            <w:textDirection w:val="lrTb"/>
            <w:noWrap w:val="false"/>
          </w:tcPr>
          <w:p>
            <w:pPr>
              <w:jc w:val="center"/>
              <w:rPr>
                <w:rFonts w:ascii="Times New Roman" w:hAnsi="Times New Roman"/>
                <w:szCs w:val="18"/>
              </w:rPr>
            </w:pPr>
            <w:r>
              <w:rPr>
                <w:rFonts w:hint="eastAsia" w:ascii="Times New Roman" w:hAnsi="Times New Roman"/>
                <w:szCs w:val="18"/>
              </w:rPr>
              <w:t xml:space="preserve">安全要求</w:t>
            </w:r>
            <w:r/>
          </w:p>
        </w:tc>
        <w:tc>
          <w:tcPr>
            <w:tcW w:w="638" w:type="pct"/>
            <w:vAlign w:val="center"/>
            <w:vMerge w:val="continue"/>
            <w:textDirection w:val="lrTb"/>
            <w:noWrap w:val="false"/>
          </w:tcPr>
          <w:p>
            <w:pPr>
              <w:rPr>
                <w:rFonts w:ascii="Times New Roman" w:hAnsi="Times New Roman"/>
              </w:rPr>
            </w:pPr>
            <w:r>
              <w:rPr>
                <w:rFonts w:ascii="Times New Roman" w:hAnsi="Times New Roman"/>
              </w:rPr>
            </w:r>
            <w:r/>
          </w:p>
        </w:tc>
        <w:tc>
          <w:tcPr>
            <w:tcW w:w="979" w:type="pct"/>
            <w:vAlign w:val="center"/>
            <w:textDirection w:val="lrTb"/>
            <w:noWrap w:val="false"/>
          </w:tcPr>
          <w:p>
            <w:pPr>
              <w:rPr>
                <w:rFonts w:ascii="Times New Roman" w:hAnsi="Times New Roman"/>
              </w:rPr>
            </w:pPr>
            <w:r>
              <w:rPr>
                <w:rFonts w:hint="eastAsia" w:ascii="Times New Roman" w:hAnsi="Times New Roman" w:cs="宋体"/>
                <w:szCs w:val="18"/>
              </w:rPr>
              <w:t xml:space="preserve">限用物质的限量要求</w:t>
            </w:r>
            <w:r/>
          </w:p>
        </w:tc>
        <w:tc>
          <w:tcPr>
            <w:tcW w:w="2532" w:type="pct"/>
            <w:vAlign w:val="center"/>
            <w:textDirection w:val="lrTb"/>
            <w:noWrap w:val="false"/>
          </w:tcPr>
          <w:p>
            <w:pPr>
              <w:rPr>
                <w:rFonts w:ascii="Times New Roman" w:hAnsi="Times New Roman"/>
              </w:rPr>
            </w:pPr>
            <w:r>
              <w:rPr>
                <w:rFonts w:hint="eastAsia" w:ascii="Times New Roman" w:hAnsi="Times New Roman" w:cs="仿宋"/>
                <w:szCs w:val="18"/>
                <w:lang w:bidi="ar"/>
              </w:rPr>
              <w:t xml:space="preserve">★</w:t>
            </w:r>
            <w:r>
              <w:rPr>
                <w:rFonts w:hint="eastAsia" w:ascii="Times New Roman" w:hAnsi="Times New Roman" w:cs="宋体"/>
                <w:bCs/>
                <w:iCs/>
                <w:szCs w:val="18"/>
              </w:rPr>
              <w:t xml:space="preserve">符合GB/T26572中规定。</w:t>
            </w:r>
            <w:r/>
          </w:p>
        </w:tc>
      </w:tr>
    </w:tbl>
    <w:p>
      <w:pPr>
        <w:ind w:firstLine="480"/>
        <w:spacing w:line="400" w:lineRule="exact"/>
        <w:rPr>
          <w:rFonts w:hint="eastAsia" w:ascii="宋体" w:hAnsi="宋体"/>
          <w:bCs/>
          <w:sz w:val="24"/>
          <w:szCs w:val="24"/>
        </w:rPr>
      </w:pPr>
      <w:r>
        <w:rPr>
          <w:rFonts w:hint="eastAsia" w:ascii="宋体" w:hAnsi="宋体"/>
          <w:bCs/>
          <w:sz w:val="24"/>
          <w:szCs w:val="24"/>
        </w:rPr>
        <w:t xml:space="preserve">采购包1：</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除满足以上需求外，投标人所投产品须搭载同传软件，配备的同传软件要求如下：</w:t>
      </w:r>
      <w:r/>
    </w:p>
    <w:tbl>
      <w:tblPr>
        <w:tblStyle w:val="791"/>
        <w:tblW w:w="50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8646"/>
      </w:tblGrid>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序号</w:t>
            </w:r>
            <w:r/>
          </w:p>
        </w:tc>
        <w:tc>
          <w:tcPr>
            <w:tcW w:w="4568"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要求</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1</w:t>
            </w:r>
            <w:r/>
          </w:p>
        </w:tc>
        <w:tc>
          <w:tcPr>
            <w:tcW w:w="4568" w:type="pct"/>
            <w:vAlign w:val="center"/>
            <w:textDirection w:val="lrTb"/>
            <w:noWrap w:val="false"/>
          </w:tcPr>
          <w:p>
            <w:pPr>
              <w:spacing w:line="320" w:lineRule="exact"/>
              <w:rPr>
                <w:rFonts w:ascii="Times New Roman" w:hAnsi="Times New Roman" w:cs="宋体"/>
                <w:szCs w:val="18"/>
              </w:rPr>
            </w:pPr>
            <w:r>
              <w:rPr>
                <w:rFonts w:hint="eastAsia" w:ascii="Times New Roman" w:hAnsi="Times New Roman" w:cs="宋体"/>
                <w:bCs/>
                <w:iCs/>
                <w:szCs w:val="18"/>
              </w:rPr>
              <w:t xml:space="preserve">▲支持国产化操作系统的立即还原并支持还原点的创建。</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2</w:t>
            </w:r>
            <w:r/>
          </w:p>
        </w:tc>
        <w:tc>
          <w:tcPr>
            <w:tcW w:w="4568" w:type="pct"/>
            <w:vAlign w:val="center"/>
            <w:textDirection w:val="lrTb"/>
            <w:noWrap w:val="false"/>
          </w:tcPr>
          <w:p>
            <w:pPr>
              <w:spacing w:line="320" w:lineRule="exact"/>
              <w:rPr>
                <w:rFonts w:ascii="Times New Roman" w:hAnsi="Times New Roman" w:cs="宋体"/>
                <w:bCs/>
                <w:iCs/>
                <w:szCs w:val="18"/>
              </w:rPr>
            </w:pPr>
            <w:r>
              <w:rPr>
                <w:rFonts w:hint="eastAsia" w:ascii="Times New Roman" w:hAnsi="Times New Roman" w:cs="宋体"/>
                <w:bCs/>
                <w:iCs/>
                <w:szCs w:val="18"/>
              </w:rPr>
              <w:t xml:space="preserve">○支持终端电脑MBR分区系统和GPT分区系统混合安装,可支持60个以上的不同操作系统。</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3</w:t>
            </w:r>
            <w:r/>
          </w:p>
        </w:tc>
        <w:tc>
          <w:tcPr>
            <w:tcW w:w="4568" w:type="pct"/>
            <w:vAlign w:val="center"/>
            <w:textDirection w:val="lrTb"/>
            <w:noWrap w:val="false"/>
          </w:tcPr>
          <w:p>
            <w:pPr>
              <w:spacing w:line="320" w:lineRule="exact"/>
              <w:rPr>
                <w:rFonts w:ascii="Times New Roman" w:hAnsi="Times New Roman" w:cs="宋体"/>
                <w:bCs/>
                <w:iCs/>
                <w:szCs w:val="18"/>
              </w:rPr>
            </w:pPr>
            <w:r>
              <w:rPr>
                <w:rFonts w:hint="eastAsia" w:ascii="Times New Roman" w:hAnsi="Times New Roman" w:cs="宋体"/>
                <w:bCs/>
                <w:iCs/>
                <w:szCs w:val="18"/>
              </w:rPr>
              <w:t xml:space="preserve">▲针对系统或者频道创建多个状态的还原点，恢复还原点、删除还原点；系统维护时，新增软件，软件冲突等软件导致系统损坏，可快速恢复到上一次保存的状态。</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4</w:t>
            </w:r>
            <w:r/>
          </w:p>
        </w:tc>
        <w:tc>
          <w:tcPr>
            <w:tcW w:w="4568" w:type="pct"/>
            <w:vAlign w:val="center"/>
            <w:textDirection w:val="lrTb"/>
            <w:noWrap w:val="false"/>
          </w:tcPr>
          <w:p>
            <w:pPr>
              <w:spacing w:line="320" w:lineRule="exact"/>
              <w:rPr>
                <w:rFonts w:ascii="Times New Roman" w:hAnsi="Times New Roman" w:cs="宋体"/>
                <w:bCs/>
                <w:iCs/>
                <w:szCs w:val="18"/>
              </w:rPr>
            </w:pPr>
            <w:r>
              <w:rPr>
                <w:rFonts w:hint="eastAsia" w:ascii="Times New Roman" w:hAnsi="Times New Roman" w:cs="宋体"/>
                <w:bCs/>
                <w:iCs/>
                <w:szCs w:val="18"/>
              </w:rPr>
              <w:t xml:space="preserve">○支持隐藏底层操作系统选单，当有多个操作系统时，可设置默认进入某个操作系统，可以以秒为自定义进入系统的时间。</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5</w:t>
            </w:r>
            <w:r/>
          </w:p>
        </w:tc>
        <w:tc>
          <w:tcPr>
            <w:tcW w:w="4568" w:type="pct"/>
            <w:vAlign w:val="center"/>
            <w:textDirection w:val="lrTb"/>
            <w:noWrap w:val="false"/>
          </w:tcPr>
          <w:p>
            <w:pPr>
              <w:spacing w:line="320" w:lineRule="exact"/>
              <w:rPr>
                <w:rFonts w:ascii="Times New Roman" w:hAnsi="Times New Roman" w:cs="宋体"/>
                <w:bCs/>
                <w:iCs/>
                <w:szCs w:val="18"/>
              </w:rPr>
            </w:pPr>
            <w:r>
              <w:rPr>
                <w:rFonts w:hint="eastAsia" w:ascii="Times New Roman" w:hAnsi="Times New Roman" w:cs="宋体"/>
                <w:bCs/>
                <w:iCs/>
                <w:szCs w:val="18"/>
              </w:rPr>
              <w:t xml:space="preserve">○可对多个操作系统自动分配不同网段的IP地址，用于不同的内外网使用环境或实验环境。</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6</w:t>
            </w:r>
            <w:r/>
          </w:p>
        </w:tc>
        <w:tc>
          <w:tcPr>
            <w:tcW w:w="4568" w:type="pct"/>
            <w:vAlign w:val="center"/>
            <w:textDirection w:val="lrTb"/>
            <w:noWrap w:val="false"/>
          </w:tcPr>
          <w:p>
            <w:pPr>
              <w:spacing w:line="320" w:lineRule="exact"/>
              <w:rPr>
                <w:rFonts w:ascii="Times New Roman" w:hAnsi="Times New Roman" w:cs="宋体"/>
                <w:bCs/>
                <w:iCs/>
                <w:szCs w:val="18"/>
              </w:rPr>
            </w:pPr>
            <w:r>
              <w:rPr>
                <w:rFonts w:hint="eastAsia" w:ascii="Times New Roman" w:hAnsi="Times New Roman" w:cs="宋体"/>
                <w:bCs/>
                <w:iCs/>
                <w:szCs w:val="18"/>
              </w:rPr>
              <w:t xml:space="preserve">▲可分配用户权限，自主在现有安装好的国产化操作系统下面快速创建属于自己的专用虚拟系统，所安装的软件和保存的数据仅自己可以使用，其他用户无法查看、修改或删除。</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7</w:t>
            </w:r>
            <w:r/>
          </w:p>
        </w:tc>
        <w:tc>
          <w:tcPr>
            <w:tcW w:w="4568" w:type="pct"/>
            <w:vAlign w:val="center"/>
            <w:textDirection w:val="lrTb"/>
            <w:noWrap w:val="false"/>
          </w:tcPr>
          <w:p>
            <w:pPr>
              <w:spacing w:line="320" w:lineRule="exact"/>
              <w:rPr>
                <w:rFonts w:ascii="Times New Roman" w:hAnsi="Times New Roman" w:cs="宋体"/>
                <w:bCs/>
                <w:iCs/>
                <w:szCs w:val="18"/>
              </w:rPr>
            </w:pPr>
            <w:r>
              <w:rPr>
                <w:rFonts w:hint="eastAsia" w:ascii="Times New Roman" w:hAnsi="Times New Roman" w:cs="宋体"/>
                <w:bCs/>
                <w:iCs/>
                <w:szCs w:val="18"/>
              </w:rPr>
              <w:t xml:space="preserve">○可在现有安装好的国产化操作系统下面快速复制出一个同样的频道系统，无需重新分区；该频道系统可以安装不同的应用软件，实现一机多用</w:t>
            </w:r>
            <w:r>
              <w:rPr>
                <w:rFonts w:hint="eastAsia" w:ascii="Times New Roman" w:hAnsi="Times New Roman" w:cs="宋体"/>
                <w:b/>
                <w:iCs/>
                <w:szCs w:val="18"/>
              </w:rPr>
              <w:t xml:space="preserve">（提供相关证明材料）</w:t>
            </w:r>
            <w:r>
              <w:rPr>
                <w:rFonts w:hint="eastAsia" w:ascii="Times New Roman" w:hAnsi="Times New Roman" w:cs="宋体"/>
                <w:bCs/>
                <w:iCs/>
                <w:szCs w:val="18"/>
              </w:rPr>
              <w:t xml:space="preserve">。</w:t>
            </w:r>
            <w:r/>
          </w:p>
        </w:tc>
      </w:tr>
      <w:tr>
        <w:trPr/>
        <w:tc>
          <w:tcPr>
            <w:tcW w:w="432" w:type="pct"/>
            <w:vAlign w:val="center"/>
            <w:textDirection w:val="lrTb"/>
            <w:noWrap w:val="false"/>
          </w:tcPr>
          <w:p>
            <w:pPr>
              <w:jc w:val="center"/>
              <w:spacing w:line="320" w:lineRule="exact"/>
              <w:rPr>
                <w:rFonts w:ascii="Times New Roman" w:hAnsi="Times New Roman" w:cs="宋体"/>
                <w:szCs w:val="18"/>
              </w:rPr>
            </w:pPr>
            <w:r>
              <w:rPr>
                <w:rFonts w:hint="eastAsia" w:ascii="Times New Roman" w:hAnsi="Times New Roman" w:cs="宋体"/>
                <w:szCs w:val="18"/>
              </w:rPr>
              <w:t xml:space="preserve">8</w:t>
            </w:r>
            <w:r/>
          </w:p>
        </w:tc>
        <w:tc>
          <w:tcPr>
            <w:tcW w:w="4568" w:type="pct"/>
            <w:vAlign w:val="center"/>
            <w:textDirection w:val="lrTb"/>
            <w:noWrap w:val="false"/>
          </w:tcPr>
          <w:p>
            <w:pPr>
              <w:spacing w:line="320" w:lineRule="exact"/>
              <w:rPr>
                <w:rFonts w:ascii="Times New Roman" w:hAnsi="Times New Roman" w:cs="宋体"/>
                <w:bCs/>
                <w:iCs/>
                <w:szCs w:val="18"/>
              </w:rPr>
            </w:pPr>
            <w:r>
              <w:rPr>
                <w:rFonts w:hint="eastAsia" w:ascii="Times New Roman" w:hAnsi="Times New Roman" w:cs="宋体"/>
                <w:bCs/>
                <w:iCs/>
                <w:szCs w:val="18"/>
              </w:rPr>
              <w:t xml:space="preserve">○可同时对1000台以上的终端电脑采用差异拷贝的方式对系统和软件进行更新部署，并同时对国产化操作系统的计算机名和IP地址进行自动分配</w:t>
            </w:r>
            <w:r>
              <w:rPr>
                <w:rFonts w:hint="eastAsia" w:ascii="Times New Roman" w:hAnsi="Times New Roman" w:cs="宋体"/>
                <w:b/>
                <w:iCs/>
                <w:szCs w:val="18"/>
              </w:rPr>
              <w:t xml:space="preserve">（提供相关证明材料）</w:t>
            </w:r>
            <w:r>
              <w:rPr>
                <w:rFonts w:hint="eastAsia" w:ascii="Times New Roman" w:hAnsi="Times New Roman" w:cs="宋体"/>
                <w:bCs/>
                <w:iCs/>
                <w:szCs w:val="18"/>
              </w:rPr>
              <w:t xml:space="preserve">。</w:t>
            </w:r>
            <w:r/>
          </w:p>
        </w:tc>
      </w:tr>
    </w:tbl>
    <w:p>
      <w:pPr>
        <w:ind w:firstLine="480"/>
        <w:spacing w:line="560" w:lineRule="exact"/>
        <w:rPr>
          <w:rFonts w:ascii="Times New Roman" w:hAnsi="Times New Roman"/>
          <w:bCs/>
          <w:sz w:val="24"/>
          <w:szCs w:val="21"/>
          <w:lang w:val="zh-CN"/>
        </w:rPr>
      </w:pPr>
      <w:r>
        <w:rPr>
          <w:rFonts w:hint="eastAsia" w:ascii="宋体" w:hAnsi="宋体" w:cs="宋体"/>
          <w:sz w:val="24"/>
          <w:szCs w:val="20"/>
        </w:rPr>
        <w:t xml:space="preserve">注：</w:t>
      </w:r>
      <w:r/>
    </w:p>
    <w:p>
      <w:pPr>
        <w:ind w:firstLine="482"/>
        <w:spacing w:line="500" w:lineRule="exact"/>
        <w:rPr>
          <w:rFonts w:ascii="Times New Roman" w:hAnsi="Times New Roman" w:cs="方正仿宋_GBK"/>
          <w:b/>
          <w:sz w:val="24"/>
        </w:rPr>
      </w:pPr>
      <w:r>
        <w:rPr>
          <w:rFonts w:hint="eastAsia" w:ascii="Times New Roman" w:hAnsi="Times New Roman"/>
          <w:b/>
          <w:sz w:val="24"/>
          <w:szCs w:val="21"/>
        </w:rPr>
        <w:t xml:space="preserve">1</w:t>
      </w:r>
      <w:r>
        <w:rPr>
          <w:rFonts w:hint="eastAsia" w:ascii="Times New Roman" w:hAnsi="Times New Roman"/>
          <w:b/>
          <w:sz w:val="24"/>
          <w:szCs w:val="21"/>
          <w:lang w:val="zh-CN"/>
        </w:rPr>
        <w:t xml:space="preserve">.</w:t>
      </w:r>
      <w:r>
        <w:rPr>
          <w:rFonts w:hint="eastAsia" w:ascii="Times New Roman" w:hAnsi="Times New Roman" w:cs="方正仿宋_GBK"/>
          <w:b/>
          <w:sz w:val="24"/>
        </w:rPr>
        <w:t xml:space="preserve">对照财库〔2019〕9 号、财库〔2019〕19 号文件规定，本</w:t>
      </w:r>
      <w:r>
        <w:rPr>
          <w:rFonts w:hint="eastAsia" w:ascii="Times New Roman" w:hAnsi="Times New Roman" w:cs="方正仿宋_GBK"/>
          <w:b/>
          <w:sz w:val="24"/>
          <w:lang w:val="en-US" w:eastAsia="zh-CN"/>
        </w:rPr>
        <w:t xml:space="preserve">采购包</w:t>
      </w:r>
      <w:r>
        <w:rPr>
          <w:rFonts w:hint="eastAsia" w:ascii="Times New Roman" w:hAnsi="Times New Roman" w:cs="方正仿宋_GBK"/>
          <w:b/>
          <w:sz w:val="24"/>
        </w:rPr>
        <w:t xml:space="preserve">采购的</w:t>
      </w:r>
      <w:r>
        <w:rPr>
          <w:rFonts w:hint="eastAsia" w:ascii="Times New Roman" w:hAnsi="Times New Roman" w:cs="方正仿宋_GBK"/>
          <w:b/>
          <w:color w:val="ff0000"/>
          <w:sz w:val="24"/>
        </w:rPr>
        <w:t xml:space="preserve">台式计算机（教师机）、台式计算机（学生机）</w:t>
      </w:r>
      <w:r>
        <w:rPr>
          <w:rFonts w:hint="eastAsia" w:ascii="Times New Roman" w:hAnsi="Times New Roman" w:cs="方正仿宋_GBK"/>
          <w:b/>
          <w:sz w:val="24"/>
        </w:rPr>
        <w:t xml:space="preserve">属于政府强制采购产品，应符合以下要求：针对所投产品，投标文件中提供国家市场监督管理总局确定的列入“参与实施政府采购节能产品认证机构名录”内的认证机构出具的、有效期内的该产品的节能产品认证证书电子件。不满足要求的，</w:t>
      </w:r>
      <w:r>
        <w:rPr>
          <w:rFonts w:hint="eastAsia" w:ascii="Times New Roman" w:hAnsi="Times New Roman" w:cs="方正仿宋_GBK"/>
          <w:b/>
          <w:color w:val="ff0000"/>
          <w:sz w:val="24"/>
        </w:rPr>
        <w:t xml:space="preserve">按无效标处理。</w:t>
      </w:r>
      <w:r/>
    </w:p>
    <w:p>
      <w:pPr>
        <w:ind w:firstLine="482"/>
        <w:spacing w:line="500" w:lineRule="exact"/>
        <w:rPr>
          <w:rFonts w:ascii="Times New Roman" w:hAnsi="Times New Roman" w:cs="方正仿宋_GBK"/>
          <w:b/>
          <w:sz w:val="24"/>
          <w:highlight w:val="yellow"/>
        </w:rPr>
      </w:pPr>
      <w:r>
        <w:rPr>
          <w:rFonts w:hint="eastAsia" w:ascii="Times New Roman" w:hAnsi="Times New Roman" w:cs="方正仿宋_GBK"/>
          <w:b/>
          <w:sz w:val="24"/>
        </w:rPr>
        <w:t xml:space="preserve">2.根据《宿迁市市级行政事业单位通用资产配置标准》（宿财资﹝2019﹞6号），台式计算机（含预装正版操作系统软件、同传软件），</w:t>
      </w:r>
      <w:r>
        <w:rPr>
          <w:rFonts w:hint="eastAsia" w:ascii="Times New Roman" w:hAnsi="Times New Roman" w:cs="方正仿宋_GBK"/>
          <w:b/>
          <w:color w:val="ff0000"/>
          <w:sz w:val="24"/>
        </w:rPr>
        <w:t xml:space="preserve">价格上限5000/台。价格超过5000元/台，按无效标处理。</w:t>
      </w:r>
      <w:r/>
    </w:p>
    <w:p>
      <w:pPr>
        <w:ind w:firstLine="482"/>
        <w:spacing w:line="500" w:lineRule="exact"/>
        <w:rPr>
          <w:rFonts w:ascii="Times New Roman" w:hAnsi="Times New Roman" w:cs="方正仿宋_GBK"/>
          <w:b/>
          <w:sz w:val="24"/>
        </w:rPr>
      </w:pPr>
      <w:r>
        <w:rPr>
          <w:rFonts w:hint="eastAsia" w:ascii="Times New Roman" w:hAnsi="Times New Roman" w:cs="方正仿宋_GBK"/>
          <w:b/>
          <w:sz w:val="24"/>
        </w:rPr>
        <w:t xml:space="preserve">3、投标人承诺所投产品满足江苏省普通高中学业水平合格性考试(信息技术)要求，同时满足高中信息技术新课标、新教材教学要求；承诺所投的同传软件与计算机及操作系统兼容、适配。（投标时须提供加盖本单位CA电子公章的承诺函电子件，格式见“投标文件”承诺函，</w:t>
      </w:r>
      <w:r>
        <w:rPr>
          <w:rFonts w:hint="eastAsia" w:ascii="Times New Roman" w:hAnsi="Times New Roman" w:cs="方正仿宋_GBK"/>
          <w:b/>
          <w:color w:val="ff0000"/>
          <w:sz w:val="24"/>
        </w:rPr>
        <w:t xml:space="preserve">否则按无效标处理</w:t>
      </w:r>
      <w:r>
        <w:rPr>
          <w:rFonts w:hint="eastAsia" w:ascii="Times New Roman" w:hAnsi="Times New Roman" w:cs="方正仿宋_GBK"/>
          <w:b/>
          <w:sz w:val="24"/>
        </w:rPr>
        <w:t xml:space="preserve">）。</w:t>
      </w:r>
      <w:r/>
    </w:p>
    <w:p>
      <w:pPr>
        <w:ind w:firstLine="480"/>
        <w:spacing w:line="400" w:lineRule="exact"/>
        <w:rPr>
          <w:rFonts w:hint="eastAsia" w:ascii="宋体" w:hAnsi="宋体"/>
          <w:i/>
          <w:sz w:val="24"/>
          <w:szCs w:val="24"/>
          <w:u w:val="single"/>
        </w:rPr>
      </w:pPr>
      <w:r>
        <w:rPr>
          <w:rFonts w:hint="eastAsia" w:ascii="宋体" w:hAnsi="宋体"/>
          <w:bCs/>
          <w:sz w:val="24"/>
          <w:szCs w:val="24"/>
        </w:rPr>
        <w:t xml:space="preserve">采购包</w:t>
      </w:r>
      <w:r>
        <w:rPr>
          <w:rFonts w:hint="default" w:ascii="Times New Roman" w:hAnsi="Times New Roman" w:cs="Times New Roman"/>
          <w:bCs/>
          <w:sz w:val="24"/>
          <w:szCs w:val="24"/>
        </w:rPr>
        <w:t xml:space="preserve">2</w:t>
      </w:r>
      <w:r>
        <w:rPr>
          <w:rFonts w:hint="eastAsia" w:ascii="宋体" w:hAnsi="宋体"/>
          <w:bCs/>
          <w:sz w:val="24"/>
          <w:szCs w:val="24"/>
        </w:rPr>
        <w:t xml:space="preserve">：</w:t>
      </w:r>
      <w:r/>
    </w:p>
    <w:tbl>
      <w:tblPr>
        <w:tblStyle w:val="791"/>
        <w:tblW w:w="905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062"/>
        <w:gridCol w:w="5742"/>
        <w:gridCol w:w="738"/>
        <w:gridCol w:w="810"/>
      </w:tblGrid>
      <w:tr>
        <w:trPr/>
        <w:tc>
          <w:tcPr>
            <w:tcW w:w="704" w:type="dxa"/>
            <w:vAlign w:val="center"/>
            <w:textDirection w:val="lrTb"/>
            <w:noWrap w:val="false"/>
          </w:tcPr>
          <w:p>
            <w:pPr>
              <w:jc w:val="center"/>
              <w:rPr>
                <w:rFonts w:ascii="Times New Roman" w:hAnsi="Times New Roman" w:cs="宋体"/>
                <w:b/>
                <w:bCs/>
                <w:szCs w:val="15"/>
              </w:rPr>
            </w:pPr>
            <w:r>
              <w:rPr>
                <w:rFonts w:hint="eastAsia" w:ascii="Times New Roman" w:hAnsi="Times New Roman"/>
                <w:b/>
                <w:bCs/>
              </w:rPr>
              <w:t xml:space="preserve">序号</w:t>
            </w:r>
            <w:r/>
          </w:p>
        </w:tc>
        <w:tc>
          <w:tcPr>
            <w:tcW w:w="1062" w:type="dxa"/>
            <w:vAlign w:val="center"/>
            <w:textDirection w:val="lrTb"/>
            <w:noWrap w:val="false"/>
          </w:tcPr>
          <w:p>
            <w:pPr>
              <w:jc w:val="center"/>
              <w:rPr>
                <w:rFonts w:ascii="Times New Roman" w:hAnsi="Times New Roman" w:cs="宋体"/>
                <w:b/>
                <w:bCs/>
                <w:szCs w:val="15"/>
              </w:rPr>
            </w:pPr>
            <w:r>
              <w:rPr>
                <w:rFonts w:hint="eastAsia" w:ascii="Times New Roman" w:hAnsi="Times New Roman" w:cs="宋体"/>
                <w:b/>
                <w:bCs/>
                <w:szCs w:val="15"/>
              </w:rPr>
              <w:t xml:space="preserve">设备名称</w:t>
            </w:r>
            <w:r/>
          </w:p>
        </w:tc>
        <w:tc>
          <w:tcPr>
            <w:tcW w:w="5742" w:type="dxa"/>
            <w:vAlign w:val="center"/>
            <w:textDirection w:val="lrTb"/>
            <w:noWrap w:val="false"/>
          </w:tcPr>
          <w:p>
            <w:pPr>
              <w:jc w:val="center"/>
              <w:rPr>
                <w:rFonts w:ascii="Times New Roman" w:hAnsi="Times New Roman" w:cs="宋体"/>
                <w:b/>
                <w:bCs/>
                <w:szCs w:val="15"/>
              </w:rPr>
            </w:pPr>
            <w:r>
              <w:rPr>
                <w:rFonts w:hint="eastAsia" w:ascii="Times New Roman" w:hAnsi="Times New Roman" w:cs="宋体"/>
                <w:b/>
                <w:bCs/>
                <w:szCs w:val="15"/>
              </w:rPr>
              <w:t xml:space="preserve">规格参数</w:t>
            </w:r>
            <w:r/>
          </w:p>
        </w:tc>
        <w:tc>
          <w:tcPr>
            <w:tcW w:w="738" w:type="dxa"/>
            <w:vAlign w:val="center"/>
            <w:textDirection w:val="lrTb"/>
            <w:noWrap w:val="false"/>
          </w:tcPr>
          <w:p>
            <w:pPr>
              <w:jc w:val="center"/>
              <w:rPr>
                <w:rFonts w:ascii="Times New Roman" w:hAnsi="Times New Roman" w:cs="宋体"/>
                <w:b/>
                <w:bCs/>
                <w:szCs w:val="15"/>
              </w:rPr>
            </w:pPr>
            <w:r>
              <w:rPr>
                <w:rFonts w:hint="eastAsia" w:ascii="Times New Roman" w:hAnsi="Times New Roman" w:cs="宋体"/>
                <w:b/>
                <w:bCs/>
                <w:szCs w:val="15"/>
              </w:rPr>
              <w:t xml:space="preserve">单位</w:t>
            </w:r>
            <w:r/>
          </w:p>
        </w:tc>
        <w:tc>
          <w:tcPr>
            <w:tcW w:w="810" w:type="dxa"/>
            <w:vAlign w:val="center"/>
            <w:textDirection w:val="lrTb"/>
            <w:noWrap w:val="false"/>
          </w:tcPr>
          <w:p>
            <w:pPr>
              <w:jc w:val="center"/>
              <w:rPr>
                <w:rFonts w:ascii="Times New Roman" w:hAnsi="Times New Roman" w:cs="宋体"/>
                <w:b/>
                <w:bCs/>
                <w:szCs w:val="15"/>
              </w:rPr>
            </w:pPr>
            <w:r>
              <w:rPr>
                <w:rFonts w:hint="eastAsia" w:ascii="Times New Roman" w:hAnsi="Times New Roman" w:cs="宋体"/>
                <w:b/>
                <w:bCs/>
                <w:szCs w:val="15"/>
              </w:rPr>
              <w:t xml:space="preserve">数量</w:t>
            </w:r>
            <w:r/>
          </w:p>
        </w:tc>
      </w:tr>
      <w:tr>
        <w:trPr/>
        <w:tc>
          <w:tcPr>
            <w:tcW w:w="704" w:type="dxa"/>
            <w:vAlign w:val="center"/>
            <w:textDirection w:val="lrTb"/>
            <w:noWrap w:val="false"/>
          </w:tcPr>
          <w:p>
            <w:pPr>
              <w:jc w:val="center"/>
              <w:rPr>
                <w:rFonts w:ascii="Times New Roman" w:hAnsi="Times New Roman" w:cs="宋体"/>
                <w:szCs w:val="15"/>
              </w:rPr>
            </w:pPr>
            <w:r>
              <w:rPr>
                <w:rFonts w:hint="eastAsia" w:ascii="Times New Roman" w:hAnsi="Times New Roman" w:cs="宋体"/>
              </w:rPr>
              <w:t xml:space="preserve">1</w:t>
            </w:r>
            <w:r/>
          </w:p>
        </w:tc>
        <w:tc>
          <w:tcPr>
            <w:tcW w:w="1062" w:type="dxa"/>
            <w:vAlign w:val="center"/>
            <w:textDirection w:val="lrTb"/>
            <w:noWrap/>
          </w:tcPr>
          <w:p>
            <w:pPr>
              <w:jc w:val="center"/>
              <w:rPr>
                <w:rFonts w:ascii="Times New Roman" w:hAnsi="Times New Roman" w:cs="宋体"/>
                <w:szCs w:val="15"/>
                <w:highlight w:val="yellow"/>
              </w:rPr>
            </w:pPr>
            <w:r>
              <w:rPr>
                <w:rFonts w:hint="eastAsia" w:ascii="Times New Roman" w:hAnsi="Times New Roman" w:cs="宋体"/>
                <w:szCs w:val="15"/>
              </w:rPr>
              <w:t xml:space="preserve">防火墙</w:t>
            </w:r>
            <w:r/>
          </w:p>
        </w:tc>
        <w:tc>
          <w:tcPr>
            <w:tcW w:w="5742" w:type="dxa"/>
            <w:vAlign w:val="center"/>
            <w:textDirection w:val="lrTb"/>
            <w:noWrap w:val="false"/>
          </w:tcPr>
          <w:p>
            <w:pPr>
              <w:rPr>
                <w:rFonts w:hint="eastAsia" w:ascii="Times New Roman" w:hAnsi="Times New Roman" w:cs="宋体"/>
                <w:szCs w:val="15"/>
                <w:lang w:eastAsia="zh-CN"/>
              </w:rPr>
            </w:pPr>
            <w:r>
              <w:rPr>
                <w:rFonts w:hint="eastAsia" w:ascii="Times New Roman" w:hAnsi="Times New Roman" w:cs="宋体"/>
                <w:bCs/>
                <w:iCs/>
                <w:szCs w:val="18"/>
              </w:rPr>
              <w:t xml:space="preserve">○</w:t>
            </w:r>
            <w:r>
              <w:rPr>
                <w:rFonts w:hint="eastAsia" w:ascii="Times New Roman" w:hAnsi="Times New Roman" w:cs="宋体"/>
                <w:szCs w:val="15"/>
              </w:rPr>
              <w:t xml:space="preserve">1.≥8个千兆电口，≥2个千兆光口，≥2个万兆光口插槽，空闲接口板卡扩展槽位≥1个；网络层吞吐量≥8Gbps，应用层吞吐量≥</w:t>
            </w:r>
            <w:r>
              <w:rPr>
                <w:rFonts w:hint="eastAsia" w:ascii="Times New Roman" w:hAnsi="Times New Roman" w:cs="宋体"/>
                <w:szCs w:val="15"/>
              </w:rPr>
              <w:t xml:space="preserve">6G，TCP新建连接速率≥6万/秒，TCP并发连接数≥220万，默认包含3年硬件质保和3年入侵防御、3年防病毒升级授权许可；支持一体化安全策略配置，可以通过一条策略实现五元组、源MAC、源地区、目的地区、域名、应用、服务、时间、长连接、并发会话、WEB认证、IPS、AV、URL过滤、高级威胁防护、WAF、邮件安全、数据过滤、文件过滤、僵木蠕防御、审计、防代理、APT等功能配置，简化用户管理；提供策略分析功能，支持策略命中分析、策略冗余分析、策略冲突检查、策略包含分析、宽泛策略分析，可在WEB界面显示检测结果</w:t>
            </w:r>
            <w:r>
              <w:rPr>
                <w:rFonts w:hint="eastAsia" w:ascii="Times New Roman" w:hAnsi="Times New Roman" w:cs="宋体"/>
                <w:szCs w:val="15"/>
                <w:lang w:eastAsia="zh-CN"/>
              </w:rPr>
              <w:t xml:space="preserve">。</w:t>
            </w:r>
            <w:r/>
          </w:p>
          <w:p>
            <w:pPr>
              <w:rPr>
                <w:rFonts w:ascii="Times New Roman" w:hAnsi="Times New Roman" w:cs="宋体"/>
                <w:szCs w:val="15"/>
              </w:rPr>
            </w:pPr>
            <w:r>
              <w:rPr>
                <w:rFonts w:hint="eastAsia" w:ascii="Times New Roman" w:hAnsi="Times New Roman" w:cs="宋体"/>
                <w:bCs/>
                <w:iCs/>
                <w:szCs w:val="18"/>
              </w:rPr>
              <w:t xml:space="preserve">○</w:t>
            </w:r>
            <w:r>
              <w:rPr>
                <w:rFonts w:hint="eastAsia" w:ascii="Times New Roman" w:hAnsi="Times New Roman" w:cs="宋体"/>
                <w:szCs w:val="15"/>
                <w:lang w:val="en-US" w:eastAsia="zh-CN"/>
              </w:rPr>
              <w:t xml:space="preserve">2</w:t>
            </w:r>
            <w:r>
              <w:rPr>
                <w:rFonts w:hint="eastAsia" w:ascii="Times New Roman" w:hAnsi="Times New Roman" w:cs="宋体"/>
                <w:szCs w:val="15"/>
              </w:rPr>
              <w:t xml:space="preserve">.支持配置文件、系统服务、路由、链路聚合、安全策略、NAT策略、带宽管理、认证策略、IPV6功能、URL过滤、病毒过滤、WAF、僵木蠕、高级威胁防护、内容过滤、邮件安全、审计、报表、防代理等安全功能虚拟化；支持与本次招标杀毒软件联动，获取资产信息，提供资产IP、资产状态、安全状态、资产详情等信息，并可对资产按照安全状态、资产类别、操作系统等分类进行统计；支持监督网络中主机安装杀毒软件客户端。</w:t>
            </w:r>
            <w:r/>
          </w:p>
          <w:p>
            <w:pPr>
              <w:rPr>
                <w:rFonts w:ascii="Times New Roman" w:hAnsi="Times New Roman" w:cs="宋体"/>
                <w:b/>
                <w:bCs/>
                <w:szCs w:val="15"/>
              </w:rPr>
            </w:pPr>
            <w:r>
              <w:rPr>
                <w:rFonts w:hint="eastAsia" w:ascii="Times New Roman" w:hAnsi="Times New Roman" w:cs="宋体"/>
                <w:b/>
                <w:bCs/>
                <w:szCs w:val="15"/>
              </w:rPr>
              <w:t xml:space="preserve">▲</w:t>
            </w:r>
            <w:r>
              <w:rPr>
                <w:rFonts w:hint="eastAsia" w:ascii="Times New Roman" w:hAnsi="Times New Roman" w:cs="宋体"/>
                <w:b/>
                <w:bCs/>
                <w:szCs w:val="15"/>
                <w:lang w:val="en-US" w:eastAsia="zh-CN"/>
              </w:rPr>
              <w:t xml:space="preserve">3</w:t>
            </w:r>
            <w:r>
              <w:rPr>
                <w:rFonts w:hint="eastAsia" w:ascii="Times New Roman" w:hAnsi="Times New Roman" w:cs="宋体"/>
                <w:b/>
                <w:bCs/>
                <w:szCs w:val="15"/>
              </w:rPr>
              <w:t xml:space="preserve">.内置暴力破解检测引擎，支持检测telnet、ftp、mysql、smb、rlogin、ssh、rdp、imap、pop3、smtp等10种协议，支持将暴力破解源IP添加到动态黑名单(提供相关证明材料)。</w:t>
            </w:r>
            <w:r/>
          </w:p>
          <w:p>
            <w:pPr>
              <w:rPr>
                <w:rFonts w:ascii="Times New Roman" w:hAnsi="Times New Roman" w:cs="宋体"/>
                <w:b/>
                <w:bCs/>
                <w:szCs w:val="15"/>
              </w:rPr>
            </w:pPr>
            <w:r>
              <w:rPr>
                <w:rFonts w:hint="eastAsia" w:ascii="Times New Roman" w:hAnsi="Times New Roman"/>
                <w:szCs w:val="18"/>
              </w:rPr>
              <w:t xml:space="preserve">★</w:t>
            </w:r>
            <w:r>
              <w:rPr>
                <w:rFonts w:hint="eastAsia" w:ascii="Times New Roman" w:hAnsi="Times New Roman" w:cs="宋体"/>
                <w:b/>
                <w:bCs/>
                <w:szCs w:val="15"/>
              </w:rPr>
              <w:t xml:space="preserve">3.产品应为国产品牌，具备自主知识产权所有配置界面、事件描述及手册均为中文。具备《网络关键设备和网络安全专用产品安全认证证书》或《网络安全专用产品安全检测证书》，提供有效证书电子件。</w:t>
            </w:r>
            <w:r/>
          </w:p>
        </w:tc>
        <w:tc>
          <w:tcPr>
            <w:tcW w:w="738"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台</w:t>
            </w:r>
            <w:r/>
          </w:p>
        </w:tc>
        <w:tc>
          <w:tcPr>
            <w:tcW w:w="810"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2</w:t>
            </w:r>
            <w:r/>
          </w:p>
        </w:tc>
      </w:tr>
      <w:tr>
        <w:trPr/>
        <w:tc>
          <w:tcPr>
            <w:tcW w:w="704" w:type="dxa"/>
            <w:vAlign w:val="center"/>
            <w:textDirection w:val="lrTb"/>
            <w:noWrap w:val="false"/>
          </w:tcPr>
          <w:p>
            <w:pPr>
              <w:jc w:val="center"/>
              <w:rPr>
                <w:rFonts w:ascii="Times New Roman" w:hAnsi="Times New Roman" w:cs="宋体"/>
                <w:szCs w:val="15"/>
              </w:rPr>
            </w:pPr>
            <w:r>
              <w:rPr>
                <w:rFonts w:hint="eastAsia" w:ascii="Times New Roman" w:hAnsi="Times New Roman" w:cs="宋体"/>
              </w:rPr>
              <w:t xml:space="preserve">2</w:t>
            </w:r>
            <w:r/>
          </w:p>
        </w:tc>
        <w:tc>
          <w:tcPr>
            <w:tcW w:w="1062"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日志审计</w:t>
            </w:r>
            <w:r/>
          </w:p>
        </w:tc>
        <w:tc>
          <w:tcPr>
            <w:tcW w:w="5742" w:type="dxa"/>
            <w:vAlign w:val="center"/>
            <w:textDirection w:val="lrTb"/>
            <w:noWrap w:val="false"/>
          </w:tcPr>
          <w:p>
            <w:pPr>
              <w:rPr>
                <w:rFonts w:ascii="Times New Roman" w:hAnsi="Times New Roman" w:cs="宋体"/>
                <w:szCs w:val="15"/>
              </w:rPr>
            </w:pPr>
            <w:r>
              <w:rPr>
                <w:rFonts w:hint="eastAsia" w:ascii="Times New Roman" w:hAnsi="Times New Roman" w:cs="宋体"/>
                <w:bCs/>
                <w:iCs/>
                <w:szCs w:val="18"/>
              </w:rPr>
              <w:t xml:space="preserve">○</w:t>
            </w:r>
            <w:r>
              <w:rPr>
                <w:rFonts w:hint="eastAsia" w:ascii="Times New Roman" w:hAnsi="Times New Roman" w:cs="宋体"/>
                <w:szCs w:val="15"/>
              </w:rPr>
              <w:t xml:space="preserve">1.≥4个千兆电口，≥2个千兆光口插槽，空闲接口板卡扩展槽位≥2个，系统盘≥120G SSD，数据盘≥4T，冗余电源，USB接口≥2个；日志采集处理速度≥3000EPS，≥50个日志源授权；支持日志归一化处理，将不同设备所产生的不同格式的难以理解的日志数据进行统一格式化处理，提炼出有用信息清晰、明确的展示给管理者；报表支持基于全国地图、全球地图进行访问源、访问目的追踪；支持根据设备重要程度设置独立设置每个被采集源的数据存储时间为1个月、3个月、6个月、12个月和永久保存等参数。</w:t>
            </w:r>
            <w:r/>
          </w:p>
          <w:p>
            <w:pPr>
              <w:rPr>
                <w:rFonts w:ascii="Times New Roman" w:hAnsi="Times New Roman" w:cs="宋体"/>
                <w:szCs w:val="15"/>
              </w:rPr>
            </w:pPr>
            <w:r>
              <w:rPr>
                <w:rFonts w:hint="eastAsia" w:ascii="Times New Roman" w:hAnsi="Times New Roman"/>
                <w:szCs w:val="18"/>
              </w:rPr>
              <w:t xml:space="preserve">★</w:t>
            </w:r>
            <w:r>
              <w:rPr>
                <w:rFonts w:hint="eastAsia" w:ascii="Times New Roman" w:hAnsi="Times New Roman" w:cs="宋体"/>
                <w:b/>
                <w:bCs/>
                <w:szCs w:val="15"/>
              </w:rPr>
              <w:t xml:space="preserve">2.产品应为国产品牌，具备自主知识产权所有配置界面、事件描述及手册均为中文。具备《网络关键设备和网络安全专用产品安全认证证书》或《网络安全专用产品安全检测证书》，提供有效证书电子件。</w:t>
            </w:r>
            <w:r/>
          </w:p>
        </w:tc>
        <w:tc>
          <w:tcPr>
            <w:tcW w:w="738"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台</w:t>
            </w:r>
            <w:r/>
          </w:p>
        </w:tc>
        <w:tc>
          <w:tcPr>
            <w:tcW w:w="810"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1</w:t>
            </w:r>
            <w:r/>
          </w:p>
        </w:tc>
      </w:tr>
      <w:tr>
        <w:trPr/>
        <w:tc>
          <w:tcPr>
            <w:tcW w:w="704" w:type="dxa"/>
            <w:vAlign w:val="center"/>
            <w:textDirection w:val="lrTb"/>
            <w:noWrap w:val="false"/>
          </w:tcPr>
          <w:p>
            <w:pPr>
              <w:jc w:val="center"/>
              <w:rPr>
                <w:rFonts w:ascii="Times New Roman" w:hAnsi="Times New Roman" w:cs="宋体"/>
                <w:szCs w:val="15"/>
              </w:rPr>
            </w:pPr>
            <w:r>
              <w:rPr>
                <w:rFonts w:hint="eastAsia" w:ascii="Times New Roman" w:hAnsi="Times New Roman" w:cs="宋体"/>
              </w:rPr>
              <w:t xml:space="preserve">3</w:t>
            </w:r>
            <w:r/>
          </w:p>
        </w:tc>
        <w:tc>
          <w:tcPr>
            <w:tcW w:w="1062"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杀毒软件</w:t>
            </w:r>
            <w:r/>
          </w:p>
        </w:tc>
        <w:tc>
          <w:tcPr>
            <w:tcW w:w="5742" w:type="dxa"/>
            <w:vAlign w:val="center"/>
            <w:textDirection w:val="lrTb"/>
            <w:noWrap w:val="false"/>
          </w:tcPr>
          <w:p>
            <w:pPr>
              <w:rPr>
                <w:rFonts w:hint="eastAsia" w:ascii="Times New Roman" w:hAnsi="Times New Roman" w:cs="宋体"/>
                <w:szCs w:val="15"/>
                <w:lang w:eastAsia="zh-CN"/>
              </w:rPr>
            </w:pPr>
            <w:r>
              <w:rPr>
                <w:rFonts w:hint="eastAsia" w:ascii="Times New Roman" w:hAnsi="Times New Roman" w:cs="宋体"/>
                <w:bCs/>
                <w:iCs/>
                <w:szCs w:val="18"/>
              </w:rPr>
              <w:t xml:space="preserve">○</w:t>
            </w:r>
            <w:r>
              <w:rPr>
                <w:rFonts w:hint="eastAsia" w:ascii="Times New Roman" w:hAnsi="Times New Roman" w:cs="宋体"/>
                <w:szCs w:val="15"/>
              </w:rPr>
              <w:t xml:space="preserve">1.支持国产化服务器及pc；本次配置服务器授权≥10台；终端授权≥300台，默认包含3年系统升级和特征库升级授权许可；策略中心的策略包括恶意网站拦截、浏览器保护、恶意行为监控、文件实时监控、下载保护、软件安装拦截、黑客入侵拦截、系统加固、U盘保护、邮件监控等；支持病毒自动隔离功能，客户端能自动将病毒文件隔离到本地隔离区，同时支持恢复隔离文件</w:t>
            </w:r>
            <w:r>
              <w:rPr>
                <w:rFonts w:hint="eastAsia" w:ascii="Times New Roman" w:hAnsi="Times New Roman" w:cs="宋体"/>
                <w:szCs w:val="15"/>
                <w:lang w:eastAsia="zh-CN"/>
              </w:rPr>
              <w:t xml:space="preserve">。</w:t>
            </w:r>
            <w:r/>
          </w:p>
          <w:p>
            <w:pPr>
              <w:rPr>
                <w:rFonts w:ascii="Times New Roman" w:hAnsi="Times New Roman" w:cs="宋体"/>
                <w:szCs w:val="15"/>
              </w:rPr>
            </w:pPr>
            <w:r>
              <w:rPr>
                <w:rFonts w:hint="eastAsia" w:ascii="Times New Roman" w:hAnsi="Times New Roman" w:cs="宋体"/>
                <w:bCs/>
                <w:iCs/>
                <w:szCs w:val="18"/>
              </w:rPr>
              <w:t xml:space="preserve">○</w:t>
            </w:r>
            <w:r>
              <w:rPr>
                <w:rFonts w:hint="eastAsia" w:ascii="Times New Roman" w:hAnsi="Times New Roman" w:cs="宋体"/>
                <w:szCs w:val="15"/>
                <w:lang w:val="en-US" w:eastAsia="zh-CN"/>
              </w:rPr>
              <w:t xml:space="preserve">2</w:t>
            </w:r>
            <w:r>
              <w:rPr>
                <w:rFonts w:hint="eastAsia" w:ascii="Times New Roman" w:hAnsi="Times New Roman" w:cs="宋体"/>
                <w:szCs w:val="15"/>
              </w:rPr>
              <w:t xml:space="preserve">.支持虚拟补丁功能，针对网络数据流的深层分析，检测入站流量并保护应用程序免受攻击，有效阻止勒索病毒等高危威胁的入侵；支持对Webshell后门进行扫描检测，Webshell后门库数量≥80000；支持通过 PING、ARP、NMAP 方式扫描，发现尚未纳入管控的终端，支持展示终端的终端在线、离线、安装情况；支持系统加固，从系统文件保护、病毒免疫、进程保护、注册表保护、危险动作拦截、执行防护等多个维度对系统进行防护。</w:t>
            </w:r>
            <w:r/>
          </w:p>
        </w:tc>
        <w:tc>
          <w:tcPr>
            <w:tcW w:w="738"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套</w:t>
            </w:r>
            <w:r/>
          </w:p>
        </w:tc>
        <w:tc>
          <w:tcPr>
            <w:tcW w:w="810" w:type="dxa"/>
            <w:vAlign w:val="center"/>
            <w:textDirection w:val="lrTb"/>
            <w:noWrap/>
          </w:tcPr>
          <w:p>
            <w:pPr>
              <w:jc w:val="center"/>
              <w:rPr>
                <w:rFonts w:ascii="Times New Roman" w:hAnsi="Times New Roman" w:cs="宋体"/>
                <w:szCs w:val="15"/>
              </w:rPr>
            </w:pPr>
            <w:r>
              <w:rPr>
                <w:rFonts w:hint="eastAsia" w:ascii="Times New Roman" w:hAnsi="Times New Roman" w:cs="宋体"/>
                <w:szCs w:val="15"/>
              </w:rPr>
              <w:t xml:space="preserve">1</w:t>
            </w:r>
            <w:r/>
          </w:p>
        </w:tc>
      </w:tr>
    </w:tbl>
    <w:p>
      <w:r>
        <w:rPr>
          <w:rFonts w:hint="eastAsia"/>
        </w:rPr>
        <w:t xml:space="preserve">4、5、6服务器1、服务器2、服务器3</w:t>
      </w:r>
      <w:r/>
    </w:p>
    <w:tbl>
      <w:tblPr>
        <w:tblStyle w:val="79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056"/>
        <w:gridCol w:w="967"/>
        <w:gridCol w:w="1589"/>
        <w:gridCol w:w="4972"/>
      </w:tblGrid>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b/>
                <w:bCs/>
                <w:szCs w:val="18"/>
              </w:rPr>
            </w:pPr>
            <w:r>
              <w:rPr>
                <w:rFonts w:hint="eastAsia" w:ascii="Times New Roman" w:hAnsi="Times New Roman"/>
                <w:b/>
                <w:bCs/>
                <w:szCs w:val="18"/>
              </w:rPr>
              <w:t xml:space="preserve">参数序号</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b/>
                <w:bCs/>
                <w:szCs w:val="18"/>
              </w:rPr>
            </w:pPr>
            <w:r>
              <w:rPr>
                <w:rFonts w:hint="eastAsia" w:ascii="Times New Roman" w:hAnsi="Times New Roman"/>
                <w:b/>
                <w:bCs/>
                <w:szCs w:val="18"/>
              </w:rPr>
              <w:t xml:space="preserve">指标分类</w:t>
            </w:r>
            <w:r/>
          </w:p>
        </w:tc>
        <w:tc>
          <w:tcPr>
            <w:tcW w:w="0" w:type="auto"/>
            <w:vAlign w:val="center"/>
            <w:textDirection w:val="lrTb"/>
            <w:noWrap w:val="false"/>
          </w:tcPr>
          <w:p>
            <w:pPr>
              <w:jc w:val="center"/>
              <w:widowControl/>
              <w:rPr>
                <w:rFonts w:ascii="Times New Roman" w:hAnsi="Times New Roman" w:cs="Arial"/>
                <w:b/>
                <w:bCs/>
                <w:szCs w:val="18"/>
              </w:rPr>
            </w:pPr>
            <w:r>
              <w:rPr>
                <w:rFonts w:hint="eastAsia" w:ascii="Times New Roman" w:hAnsi="Times New Roman" w:cs="Arial"/>
                <w:b/>
                <w:bCs/>
                <w:szCs w:val="18"/>
              </w:rPr>
              <w:t xml:space="preserve">一级指标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b/>
                <w:bCs/>
                <w:szCs w:val="18"/>
              </w:rPr>
            </w:pPr>
            <w:r>
              <w:rPr>
                <w:rFonts w:hint="eastAsia" w:ascii="Times New Roman" w:hAnsi="Times New Roman"/>
                <w:b/>
                <w:bCs/>
                <w:szCs w:val="18"/>
              </w:rPr>
              <w:t xml:space="preserve">二级指标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b/>
                <w:bCs/>
                <w:szCs w:val="18"/>
              </w:rPr>
            </w:pPr>
            <w:r>
              <w:rPr>
                <w:rFonts w:hint="eastAsia" w:ascii="Times New Roman" w:hAnsi="Times New Roman"/>
                <w:b/>
                <w:bCs/>
                <w:szCs w:val="18"/>
              </w:rPr>
              <w:t xml:space="preserve">指标要求</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CPU规格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CPU信息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★供应商</w:t>
            </w:r>
            <w:r>
              <w:rPr>
                <w:rFonts w:hint="eastAsia" w:ascii="Times New Roman" w:hAnsi="Times New Roman" w:cs="宋体"/>
                <w:b/>
                <w:bCs/>
                <w:iCs/>
                <w:szCs w:val="21"/>
              </w:rPr>
              <w:t xml:space="preserve">在投标文件中</w:t>
            </w:r>
            <w:r>
              <w:rPr>
                <w:rFonts w:hint="eastAsia" w:ascii="Times New Roman" w:hAnsi="Times New Roman"/>
                <w:b/>
                <w:bCs/>
                <w:szCs w:val="18"/>
              </w:rPr>
              <w:t xml:space="preserve">给出CPU信息，包含CPU型号、物理核心数、主频、末级缓存容量、线程数、热设计功耗及支持内存的最高速率、通道数和位宽。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CPU数量（服务器1、服务器2）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★≥2。</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CPU数量（服务器3）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★≥1。</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主板规格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主板支持的CPU和内存情况</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★供应商</w:t>
            </w:r>
            <w:r>
              <w:rPr>
                <w:rFonts w:hint="eastAsia" w:ascii="Times New Roman" w:hAnsi="Times New Roman" w:cs="宋体"/>
                <w:b/>
                <w:bCs/>
                <w:iCs/>
                <w:szCs w:val="21"/>
              </w:rPr>
              <w:t xml:space="preserve">在投标文件中</w:t>
            </w:r>
            <w:r>
              <w:rPr>
                <w:rFonts w:hint="eastAsia" w:ascii="Times New Roman" w:hAnsi="Times New Roman"/>
                <w:b/>
                <w:bCs/>
                <w:szCs w:val="18"/>
              </w:rPr>
              <w:t xml:space="preserve">给出主板支持的CPU和内存的型号数量。</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主板内存槽数量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▲非板载内存的可扩展插槽数量应不少于4个。</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主板存储接口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▲至少支持SATA、SAS、M.2、U.2等存储接口中的1种。</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PCIe插槽接口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★符合PCIe3.0或以上的高速串行计算机扩展总线标准，PCIe的接口速率与位宽需保证向下兼容。</w:t>
            </w:r>
            <w:r/>
          </w:p>
        </w:tc>
      </w:tr>
      <w:tr>
        <w:trPr>
          <w:trHeight w:val="9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主板PCIe插槽数量及规格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▲a)高度大于44.45mm双路或以上服务器PCIe插槽或接口应不少于5个；b)单路服务器PCIe插槽或接口应不少于4个，可通过扩展卡进行插槽扩展。</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特殊孔位及接口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a)服务器机箱内主板可根据用户实际使用需求支持安装多功能导入装置板卡，机箱内需预留多功能导入装置板卡安装位置，容量不小于55mm×45mm×15mm（长×宽×高，单位毫米）；</w:t>
            </w:r>
            <w:r>
              <w:rPr>
                <w:rFonts w:hint="eastAsia" w:ascii="Times New Roman" w:hAnsi="Times New Roman"/>
                <w:szCs w:val="18"/>
              </w:rPr>
              <w:br/>
            </w:r>
            <w:r>
              <w:rPr>
                <w:rFonts w:hint="eastAsia" w:ascii="Times New Roman" w:hAnsi="Times New Roman"/>
                <w:szCs w:val="18"/>
              </w:rPr>
              <w:t xml:space="preserve">b)服务器主板可根据用户实际使用需求预留满足USB2.0 或USB3.0数据传输规范的接口，工作电压5V，采用 USB2.0时，最大过电流应不小于0.5A，采用USB3.0时，最大过电流应不小于1A。</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板载网络接口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若支持板载网络接口应不少于1个1GE网口。</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主板OCP插</w:t>
            </w:r>
            <w:r>
              <w:rPr>
                <w:rFonts w:hint="eastAsia" w:ascii="Times New Roman" w:hAnsi="Times New Roman"/>
                <w:szCs w:val="18"/>
              </w:rPr>
              <w:br/>
            </w:r>
            <w:r>
              <w:rPr>
                <w:rFonts w:hint="eastAsia" w:ascii="Times New Roman" w:hAnsi="Times New Roman"/>
                <w:szCs w:val="18"/>
              </w:rPr>
              <w:t xml:space="preserve">槽数量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支持OCP2.0及以上插槽的数量不少于1个。</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内存规格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内存数量（服务器1、服务器2）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★≥8。</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内存数量（服务器3）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★≥4。</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★≥DDR4。</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内存通道</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▲支持多个内存接口通道，每个通道可支持1DPC或2DPC，当支持2DPC时，印制电路板上应具备插槽的序号标识，具体通道数应在随机文件中明确。</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硬磁盘实</w:t>
            </w:r>
            <w:r>
              <w:rPr>
                <w:rFonts w:hint="eastAsia" w:ascii="Times New Roman" w:hAnsi="Times New Roman"/>
                <w:szCs w:val="18"/>
              </w:rPr>
              <w:br/>
            </w:r>
            <w:r>
              <w:rPr>
                <w:rFonts w:hint="eastAsia" w:ascii="Times New Roman" w:hAnsi="Times New Roman"/>
                <w:szCs w:val="18"/>
              </w:rPr>
              <w:t xml:space="preserve">配容量（服务器1、服务器2）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▲配置≥2*480GB SSD系统盘，≥3*8TB HDD数据盘，≥1*1.92TB NVMe SSD缓存盘。</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硬磁盘实</w:t>
            </w:r>
            <w:r>
              <w:rPr>
                <w:rFonts w:hint="eastAsia" w:ascii="Times New Roman" w:hAnsi="Times New Roman"/>
                <w:szCs w:val="18"/>
              </w:rPr>
              <w:br/>
            </w:r>
            <w:r>
              <w:rPr>
                <w:rFonts w:hint="eastAsia" w:ascii="Times New Roman" w:hAnsi="Times New Roman"/>
                <w:szCs w:val="18"/>
              </w:rPr>
              <w:t xml:space="preserve">配容量（服务器3）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▲配置≥2*960GB SSD。</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硬盘接口类型</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a)若配备硬磁盘，应提供SAS 3.0或SATA 3.0及以上接口；</w:t>
            </w:r>
            <w:r>
              <w:rPr>
                <w:rFonts w:hint="eastAsia" w:ascii="Times New Roman" w:hAnsi="Times New Roman"/>
                <w:szCs w:val="18"/>
              </w:rPr>
              <w:br/>
            </w:r>
            <w:r>
              <w:rPr>
                <w:rFonts w:hint="eastAsia" w:ascii="Times New Roman" w:hAnsi="Times New Roman"/>
                <w:szCs w:val="18"/>
              </w:rPr>
              <w:t xml:space="preserve">b)若配备固态盘，应提供至少1种类型固态盘接口，如 UFS、SATA、PCIe等。</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硬盘实配数量（服务器1、服务器2）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★≥2个SSD系统盘，≥3个HDD数据盘，≥1个NVMe SSD缓存盘。</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硬盘实配数量（服务器3）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★≥2个SSD。</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硬盘插槽数量及规格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b/>
                <w:bCs/>
                <w:szCs w:val="18"/>
              </w:rPr>
              <w:t xml:space="preserve">★a)供应商应</w:t>
            </w:r>
            <w:r>
              <w:rPr>
                <w:rFonts w:hint="eastAsia" w:ascii="Times New Roman" w:hAnsi="Times New Roman" w:cs="宋体"/>
                <w:b/>
                <w:bCs/>
                <w:iCs/>
                <w:szCs w:val="21"/>
              </w:rPr>
              <w:t xml:space="preserve">在投标文件中</w:t>
            </w:r>
            <w:r>
              <w:rPr>
                <w:rFonts w:hint="eastAsia" w:ascii="Times New Roman" w:hAnsi="Times New Roman"/>
                <w:b/>
                <w:bCs/>
                <w:szCs w:val="18"/>
              </w:rPr>
              <w:t xml:space="preserve">给出配置的硬盘尺寸，如2.5英寸、3.5英寸硬磁盘；b)机箱高度为88.9mm的服务器可支持的硬盘数量应不少于8块，机箱高度为44.45mm的服务器可支持的硬盘数量应不少于4块。c)存储型服务器可支持硬盘数量应不少于24块。</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硬盘其他参数要求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a)机械硬盘准备时间应不大于30s；侧面固定螺丝孔数量可为4孔或6孔；工作状态环境温度应满足5℃~55℃，其它参数应符合GB/T 12628的相关规定。</w:t>
            </w:r>
            <w:r/>
          </w:p>
          <w:p>
            <w:pPr>
              <w:widowControl/>
              <w:rPr>
                <w:rFonts w:ascii="Times New Roman" w:hAnsi="Times New Roman"/>
                <w:szCs w:val="18"/>
              </w:rPr>
            </w:pPr>
            <w:r>
              <w:rPr>
                <w:rFonts w:hint="eastAsia" w:ascii="Times New Roman" w:hAnsi="Times New Roman"/>
                <w:szCs w:val="18"/>
              </w:rPr>
              <w:t xml:space="preserve">b)若服务器支持固态盘，固态盘符合SJ/T 11654相关规定。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textDirection w:val="lrTb"/>
            <w:noWrap w:val="false"/>
          </w:tcPr>
          <w:p>
            <w:pPr>
              <w:jc w:val="center"/>
              <w:widowControl/>
              <w:rPr>
                <w:rFonts w:ascii="Times New Roman" w:hAnsi="Times New Roman" w:cs="Arial"/>
                <w:color w:val="000000"/>
                <w:szCs w:val="18"/>
              </w:rPr>
            </w:pPr>
            <w:r>
              <w:rPr>
                <w:rFonts w:hint="eastAsia" w:ascii="Times New Roman" w:hAnsi="Times New Roman" w:cs="Arial"/>
                <w:szCs w:val="18"/>
              </w:rPr>
              <w:t xml:space="preserve">RAID卡规</w:t>
            </w:r>
            <w:r>
              <w:rPr>
                <w:rFonts w:hint="eastAsia" w:ascii="Times New Roman" w:hAnsi="Times New Roman" w:cs="Arial"/>
                <w:color w:val="000000"/>
                <w:szCs w:val="18"/>
              </w:rPr>
              <w:t xml:space="preserve">格（若支持RAID卡）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RAID卡支持的SAS接口数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≥8。</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网络规格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网口速率和数量（服务器1、服务器2）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★配置不少于4个千兆以太网电口，不少于4个万兆光口（含万兆多模光模块）。</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网口速率和数量（服务器3）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★配置不少于4个千兆以太网电口。</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存储型服务器网口速率和数量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存储型服务器1GE网口数量不少于2个，10GE以上网口数量不少于2个。</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外部接口规格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显示接口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★显示接口类型应不少于1种，如：VGA、DP、HDMI等。</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USB接口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★配备USB接口，如USB2.0、USB3.0等。</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29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特殊接口及孔位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前面板预留1个专用USB母座接口孔位。</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其他接口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a)串口数量不少于1个，并可实现GB/T 6107或GB/T 26803.2的相关功能。</w:t>
            </w:r>
            <w:r>
              <w:rPr>
                <w:rFonts w:hint="eastAsia" w:ascii="Times New Roman" w:hAnsi="Times New Roman"/>
                <w:szCs w:val="18"/>
              </w:rPr>
              <w:br/>
            </w:r>
            <w:r>
              <w:rPr>
                <w:rFonts w:hint="eastAsia" w:ascii="Times New Roman" w:hAnsi="Times New Roman"/>
                <w:szCs w:val="18"/>
              </w:rPr>
              <w:t xml:space="preserve">b)服务器主机前面板可根据用户实际使用需求预留1个专用USB母座接口孔位。</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电源规格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电源冗余模式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整机电源模块按1+1冗余或N+1冗余配置。</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电源模块数量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★≥2。</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电源功率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★电源模块功率应有一定冗余，满足处理器满载时的需求。</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电源指示灯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配备电源指示灯，指示待机、工作异常等状态。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整机规格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外观和结构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★a)服务器的零部件应紧固无松动，可插拔部件应可靠连接，开关、按钮和其它控制部件应灵活可靠，布局应方便使用</w:t>
            </w:r>
            <w:r>
              <w:rPr>
                <w:rFonts w:hint="eastAsia" w:ascii="Times New Roman" w:hAnsi="Times New Roman"/>
                <w:szCs w:val="18"/>
              </w:rPr>
              <w:t xml:space="preserve">；b)产品表面不应有明显的凹痕、划伤、裂缝、变形和污染等。表面涂层均匀，不应起泡、龟裂、脱落和磨损，金属零部件无锈蚀及其它机械损伤；c)产品表面说明功能的文字、符号和标志应清晰、端正且牢固；d)应在服务器的显著位置提供运行状态的指示功能，并在随机文件中明确具体含义；e)机架、机箱的尺寸应符合通用机柜的安装要求，插入总线插座的电路板接口外形尺寸应符合有关总线标准的规定，将机箱固定在机柜上，机箱底面最大下垂变形不得干涉相邻机体；f)高密度服务器应给出CPU个数与机柜高度；g)服务器尺寸具体要求在随机文件中明确。</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尺寸（高×宽×深）</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b/>
                <w:bCs/>
                <w:szCs w:val="18"/>
              </w:rPr>
              <w:t xml:space="preserve">★供应商</w:t>
            </w:r>
            <w:r>
              <w:rPr>
                <w:rFonts w:hint="eastAsia" w:ascii="Times New Roman" w:hAnsi="Times New Roman" w:cs="宋体"/>
                <w:b/>
                <w:bCs/>
                <w:iCs/>
                <w:szCs w:val="21"/>
              </w:rPr>
              <w:t xml:space="preserve">在投标文件中</w:t>
            </w:r>
            <w:r>
              <w:rPr>
                <w:rFonts w:hint="eastAsia" w:ascii="Times New Roman" w:hAnsi="Times New Roman"/>
                <w:b/>
                <w:bCs/>
                <w:szCs w:val="18"/>
              </w:rPr>
              <w:t xml:space="preserve">给出产品尺寸；设计应遵循标准化、系列化的要求；机箱的内部结构符合通用部件的安装需要。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环境适应性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★气候环境适应性应符合GB/T 9813.3的有关规定，工作温度10~35℃，贮存运输温度-40~55℃；工作相对湿度35%~80%，贮存运输相对湿度 20％~93%（40℃) ；大气压86~106kPa。</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特殊机型环境适应性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边缘应用服务器，工作环境温度宜为0~45℃，短期工作可承受环境温度宜为-5~55℃，液冷服务器贮存运输温度宜为-30~5℃。</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39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机械环境适应性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★机械环境适应性应符合GB/T 9813.3的有关规定。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噪声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★符合GB/T 9813.3的有关规定，在产品说明中给出具体测试值塔式服务器噪声在空闲状态下不大于50dB。</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AI计算单元规格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AI计算单元</w:t>
            </w:r>
            <w:r>
              <w:rPr>
                <w:rFonts w:hint="eastAsia" w:ascii="Times New Roman" w:hAnsi="Times New Roman"/>
                <w:szCs w:val="18"/>
              </w:rPr>
              <w:br/>
            </w:r>
            <w:r>
              <w:rPr>
                <w:rFonts w:hint="eastAsia" w:ascii="Times New Roman" w:hAnsi="Times New Roman"/>
                <w:szCs w:val="18"/>
              </w:rPr>
              <w:t xml:space="preserve">（服务器2）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★a)具备人工智能加速处理器，计算精度至少支持 FP16、BF16、FP32、FP64、INT8和INT16等中的1种；b)单推理卡或模块，具备视频解析、文本识别、语音分析等推理能力；在视觉场景下配备可直接调用的接口实现视觉计算加速，路数不小于64（1080P 30FPS）；c)配置国产化GPU，显存≥24G。</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一键式迁移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★若服务器配备AI计算单元，提供训练脚本迁移工具。</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机柜规格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机柜尺寸</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★供应商</w:t>
            </w:r>
            <w:r>
              <w:rPr>
                <w:rFonts w:hint="eastAsia" w:ascii="Times New Roman" w:hAnsi="Times New Roman" w:cs="宋体"/>
                <w:b/>
                <w:bCs/>
                <w:iCs/>
                <w:szCs w:val="21"/>
              </w:rPr>
              <w:t xml:space="preserve">在投标文件中</w:t>
            </w:r>
            <w:r>
              <w:rPr>
                <w:rFonts w:hint="eastAsia" w:ascii="Times New Roman" w:hAnsi="Times New Roman"/>
                <w:b/>
                <w:bCs/>
                <w:szCs w:val="18"/>
              </w:rPr>
              <w:t xml:space="preserve">给出长度、高度和深度。</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机柜管理板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配备机柜管理板。</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产品规格</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机柜电源规格</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a)机柜电源支持集中供电，电源输入不少于2路且支持自动切换。</w:t>
            </w:r>
            <w:r>
              <w:rPr>
                <w:rFonts w:hint="eastAsia" w:ascii="Times New Roman" w:hAnsi="Times New Roman"/>
                <w:szCs w:val="18"/>
              </w:rPr>
              <w:br/>
            </w:r>
            <w:r>
              <w:rPr>
                <w:rFonts w:hint="eastAsia" w:ascii="Times New Roman" w:hAnsi="Times New Roman"/>
                <w:szCs w:val="18"/>
              </w:rPr>
              <w:t xml:space="preserve">b)机柜电源模块支持N+1冗余配置，电源模块可独立更换。</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主板功能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主板外部接口种类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★支持USB、显示、管理等接口，如：VGA、DP、HDMI、USB3.0、PS/2 接口、BMC管理端口。</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主板防烧板设计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支持主板防烧板设计，保证电源故障后不扩散。</w:t>
            </w:r>
            <w:r/>
          </w:p>
        </w:tc>
      </w:tr>
      <w:tr>
        <w:trPr>
          <w:trHeight w:val="465"/>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jc w:val="center"/>
              <w:widowControl/>
              <w:rPr>
                <w:rFonts w:ascii="Times New Roman" w:hAnsi="Times New Roman" w:cs="Arial"/>
                <w:color w:val="000000"/>
              </w:rPr>
            </w:pPr>
            <w:r>
              <w:rPr>
                <w:rFonts w:ascii="Times New Roman" w:hAnsi="Times New Roman" w:cs="Arial"/>
                <w:color w:val="000000"/>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扩展功能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实现至少一种扩展功能，如存储功能卡、显示功能卡、运算加速功能卡及网络功能卡等扩展功能。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49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网络功能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网络功能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★支持网络连接、网络访问、数据交换和网络管控功能。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CPU功能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计算处理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密码算法实现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★CPU芯片应符合GM/T 0008的相关规定，或芯片密码模块应符合GB/T37092或GM/T 0028的相关规定。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color w:val="000000"/>
                <w:szCs w:val="18"/>
              </w:rPr>
            </w:pPr>
            <w:r>
              <w:rPr>
                <w:rFonts w:hint="eastAsia" w:ascii="Times New Roman" w:hAnsi="Times New Roman" w:cs="Arial"/>
                <w:szCs w:val="18"/>
              </w:rPr>
              <w:t xml:space="preserve">存储</w:t>
            </w:r>
            <w:r>
              <w:rPr>
                <w:rFonts w:hint="eastAsia" w:ascii="Times New Roman" w:hAnsi="Times New Roman" w:cs="Arial"/>
                <w:szCs w:val="18"/>
              </w:rPr>
              <w:br/>
            </w:r>
            <w:r>
              <w:rPr>
                <w:rFonts w:hint="eastAsia" w:ascii="Times New Roman" w:hAnsi="Times New Roman" w:cs="Arial"/>
                <w:szCs w:val="18"/>
              </w:rPr>
              <w:t xml:space="preserve">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内存校验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支持内存校验或内存增强型纠错功能。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color w:val="000000"/>
                <w:szCs w:val="18"/>
              </w:rPr>
            </w:pPr>
            <w:r>
              <w:rPr>
                <w:rFonts w:ascii="Times New Roman" w:hAnsi="Times New Roman" w:cs="Arial"/>
                <w:color w:val="000000"/>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SATA SSD NAND健康状态上报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支持关键外部存储器（硬磁盘、SSD等）的健康状态上报并进行故障诊断。</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color w:val="000000"/>
                <w:szCs w:val="18"/>
              </w:rPr>
            </w:pPr>
            <w:r>
              <w:rPr>
                <w:rFonts w:ascii="Times New Roman" w:hAnsi="Times New Roman" w:cs="Arial"/>
                <w:color w:val="000000"/>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SATA SSD单die故障隔离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支持SSD关键外部存储器中单存储晶元故障隔离。</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RAID卡功能（若支持RAID卡）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RAID卡RAID级别支持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RAID模式支持RAID 0/1/10/5，存储型支持RAID 0/1/5/6/10/50/60。</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RAID卡BBU单元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RAID卡支持电池或电容备份单元。</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光驱功能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光驱类型（是否支持 RW，以及光盘类型CD/DVD）</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若配备光驱，应提供光驱的安装形式（如内置、外置）、光驱读写类型（如只读、可刻录等）、光盘类型的兼容列表（如 CD-ROM、CD-RW、DVD±RW 等）。</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电源功能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电源热插拔</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★整机电源模块应具备热插拔功能。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59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电源过流保护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★支持过流及短路保护的功能。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整机功能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散热方式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★支持风冷或液冷等散热方式。</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其他功能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a)支持关键部件冗余（包括电源、风扇等）；</w:t>
            </w:r>
            <w:r>
              <w:rPr>
                <w:rFonts w:hint="eastAsia" w:ascii="Times New Roman" w:hAnsi="Times New Roman"/>
                <w:szCs w:val="18"/>
              </w:rPr>
              <w:br/>
            </w:r>
            <w:r>
              <w:rPr>
                <w:rFonts w:hint="eastAsia" w:ascii="Times New Roman" w:hAnsi="Times New Roman"/>
                <w:szCs w:val="18"/>
              </w:rPr>
              <w:t xml:space="preserve">b)支持熔断保护与恢复功能。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管理系统功能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BMC固件基础功能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1)支持DHCP设置网络功能；2)支持静态IP设置网络功能；3)支持设备日志记录，包括但不限于登录日志、操作日志和报警日志等功能；4)支持日志信息导出和记录删除功能；5)支持通过管理接口向外输出准确的报警信息功能；6)设备的BMC 管理软件应能够按报警的严重程度进行区分；7)支持IPMI2.0、SNMP或Redfish等接口功能；8)</w:t>
            </w:r>
            <w:r>
              <w:rPr>
                <w:rFonts w:hint="eastAsia" w:ascii="Times New Roman" w:hAnsi="Times New Roman"/>
                <w:szCs w:val="18"/>
              </w:rPr>
              <w:t xml:space="preserve">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BMC和BIOS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w:t>
            </w:r>
            <w:r>
              <w:rPr>
                <w:rFonts w:hint="eastAsia" w:ascii="Times New Roman" w:hAnsi="Times New Roman"/>
                <w:szCs w:val="18"/>
              </w:rPr>
              <w:t xml:space="preserve">设置功能，并通过日志记录访问事件；17)支持对出厂默认的用户名及口令进行安全保护功能，并提供默认口令修改提示；18)支持读取设备主板的工作环境温度功能；19)支持读取服务器CPU等核心器件的温度功能；20)支持通过外部管理工具进行BMC参数设置的功能，并可基于网络通过外部管理工具对BMC进行管理；21)应支持固件版本查询、固件升级；22)支持基于网络实现开关机和复位控制的功能；23)BMC启动时间应不超过180s，实现功能包括网络、IPMI、散热、传感器服务可用；24)支持 BMC 固件设置的恢复出厂功能。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BMC固件增强功能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a）网络控制、安装提供图形访问界面网络；</w:t>
            </w:r>
            <w:r>
              <w:rPr>
                <w:rFonts w:hint="eastAsia" w:ascii="Times New Roman" w:hAnsi="Times New Roman"/>
                <w:szCs w:val="18"/>
              </w:rPr>
              <w:br/>
            </w:r>
            <w:r>
              <w:rPr>
                <w:rFonts w:hint="eastAsia" w:ascii="Times New Roman" w:hAnsi="Times New Roman"/>
                <w:szCs w:val="18"/>
              </w:rPr>
              <w:t xml:space="preserve">b）设备的BMC管理软件界面显示报警信息，且能够按报警的严重程度进行区分；</w:t>
            </w:r>
            <w:r>
              <w:rPr>
                <w:rFonts w:hint="eastAsia" w:ascii="Times New Roman" w:hAnsi="Times New Roman"/>
                <w:szCs w:val="18"/>
              </w:rPr>
              <w:br/>
            </w:r>
            <w:r>
              <w:rPr>
                <w:rFonts w:hint="eastAsia" w:ascii="Times New Roman" w:hAnsi="Times New Roman"/>
                <w:szCs w:val="18"/>
              </w:rPr>
              <w:t xml:space="preserve">c）Web GUI采用BMC端口直连，平均响应时间为不大于1s。</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BIOS固件基础功能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★a）支持查看固件版本、内存信息、主板信息、处理器信息和系统时间信息功能；b）支持上电初始化界面显示CPU信息、内存信息、</w:t>
            </w:r>
            <w:r>
              <w:rPr>
                <w:rFonts w:hint="eastAsia" w:ascii="Times New Roman" w:hAnsi="Times New Roman"/>
                <w:szCs w:val="18"/>
              </w:rPr>
              <w:t xml:space="preserve">固件版本和部分快捷键信息功能；c）支持设置界面中英文显示切换功能；d）支持查看PCIe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识别和启动功能；k）支持串口重定向功能；l）支持固件更新功能；m）支持BIOS 固件设置的恢复出厂功能；n）支持网络引导启用和关闭功能。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远程控制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★支持远程关机和重新启动功能。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b/>
                <w:bCs/>
                <w:szCs w:val="18"/>
              </w:rPr>
            </w:pPr>
            <w:r>
              <w:rPr>
                <w:rFonts w:hint="eastAsia" w:ascii="Times New Roman" w:hAnsi="Times New Roman" w:cs="Arial"/>
                <w:b/>
                <w:bCs/>
                <w:szCs w:val="18"/>
              </w:rPr>
              <w:t xml:space="preserve">操作系统及驱动功能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b/>
                <w:bCs/>
                <w:szCs w:val="18"/>
              </w:rPr>
            </w:pPr>
            <w:r>
              <w:rPr>
                <w:rFonts w:hint="eastAsia" w:ascii="Times New Roman" w:hAnsi="Times New Roman"/>
                <w:b/>
                <w:bCs/>
                <w:szCs w:val="18"/>
              </w:rPr>
              <w:t xml:space="preserve">操作系统及驱动的升级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★支持通过网络、闪存盘对操作系统、驱动进行升级。</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b/>
                <w:bCs/>
                <w:szCs w:val="18"/>
              </w:rPr>
            </w:pPr>
            <w:r>
              <w:rPr>
                <w:rFonts w:ascii="Times New Roman" w:hAnsi="Times New Roman" w:cs="Arial"/>
                <w:b/>
                <w:bCs/>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b/>
                <w:bCs/>
                <w:szCs w:val="18"/>
              </w:rPr>
            </w:pPr>
            <w:r>
              <w:rPr>
                <w:rFonts w:hint="eastAsia" w:ascii="Times New Roman" w:hAnsi="Times New Roman"/>
                <w:b/>
                <w:bCs/>
                <w:szCs w:val="18"/>
              </w:rPr>
              <w:t xml:space="preserve">操作系统及驱动的备份还原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支持操作系统备份及还原功能。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b/>
                <w:bCs/>
                <w:szCs w:val="18"/>
              </w:rPr>
            </w:pPr>
            <w:r>
              <w:rPr>
                <w:rFonts w:ascii="Times New Roman" w:hAnsi="Times New Roman" w:cs="Arial"/>
                <w:b/>
                <w:bCs/>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b/>
                <w:bCs/>
                <w:szCs w:val="18"/>
              </w:rPr>
            </w:pPr>
            <w:r>
              <w:rPr>
                <w:rFonts w:hint="eastAsia" w:ascii="Times New Roman" w:hAnsi="Times New Roman"/>
                <w:b/>
                <w:bCs/>
                <w:szCs w:val="18"/>
              </w:rPr>
              <w:t xml:space="preserve">操作系统功能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★a)支持访问控制、安全审计、网络接入鉴别等功能；b)操作系统其他功能应满足操作系统政府采购需求标准中加*的指标要求。</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69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中文信息处理功能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中文信息处理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★符合GB 18030的有关规定。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机柜功能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机柜管理功能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机柜管理系统包括服务器节点BMC管理系统、机柜管理系统或交换节点管理系统。</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机柜通信方式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若配备机柜管理板可实现包括：资产管理、电源模块、功耗管理和液冷漏液检测等功能。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多集群作业管理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支持多集群作业管理功能。</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关键部件安全要求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关键部件安全要求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★CPU和操作系统等关键部件应当符合安全可靠测评要求。</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固件安全要求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故障检测</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★支持故障检测功能，可以检测到具体的 FRU（内存、硬盘等）的故障并发出告警。</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内存故障智能预测和自愈修复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支持内存故障智能预测和自愈修复，提前自动硬隔离，避免内存故障引起的非预期宕机以及内存寿命的降低。</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硬盘故障智能预测</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支持硬盘故障智能预测，基于故障模型预测出硬盘的故障。</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PCIe链路故障智能诊断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支持PCIe链路故障智能诊断，判断出现故障的PCIe链路。</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内存故障隔离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支持内存故障隔离，在内存产生CE故障时，内存地址被隔离成功，服务器正常运行，业务系统不中断。</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79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内存、PCIe卡的故障精准告警功能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支持内存、PCIe卡的故障精准告警功能，触发告警并明确指示具体的故障位置。</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异常下电关键数据保护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支持异常下电关键数据保护，支持数据备份恢复机制，防止系统异常掉电导致的数据文件丢失。</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BMC/BIOS固件双镜像保护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 BMC/BIOS固件双镜像保护，运行异常时自动切换到备份镜像运行，提升系统稳定性。</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CPU核重启隔离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支持CPU核发生不可纠正故障后，重启后由BIOS隔离该故障核，OS不可见，防止OS再次使用导致系统异常，核0除外。</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内存地址隔离</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在硬件支持的情况下，支持故障内存地址重启后隔离。</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内存存储阵列替换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在硬件支持的情况下，支持故障内存存储阵列替换。</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安全启动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支持执行环境要求在整个系统启动的过程中，系统应提供一个机制来保护平台的完整性。</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系统安全要求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syslog双向鉴别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支持系统日志双向鉴别，对服务器根证书和客户端根证书进行鉴别。</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弱口令字典检查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★支持弱口令字典检查功能，出现在弱口令字典中的字符串不能被设置为用户口令。</w:t>
            </w:r>
            <w:r/>
          </w:p>
        </w:tc>
      </w:tr>
      <w:tr>
        <w:trPr>
          <w:trHeight w:val="9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白名单访问控制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★支持基于时间、IP或MAC白名单访问控制。</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89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双因素鉴别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支持使用客户端证书和证书密码的双因素鉴别方式登录管理系统。</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二次鉴别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★支持二次鉴别功能。对于用户配置、权限配置、公钥导入等重要的管理操作，已登录用户应通过二次鉴别后，才能执行操作。</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匿名化用户告警接收邮箱</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支持带外管理系统中的用户告警接收邮箱进行匿名化处理。</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密码证书安全加密存储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★支持对带外管理系统中的用户口令和证书等敏感信息进行加密存储，禁止使用私有的和业界已知不安全的密码算法。</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敏感信息安全加密传输</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★支持使用安全的传输加密协议（如SSH或HTTPS等）传输用户的敏感信息。</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信息安全要求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研发过程安全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漏洞管理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供应商承诺，生产商已建立漏洞全量视图，保证产品版本涉及到的所有漏洞</w:t>
            </w:r>
            <w:r>
              <w:rPr>
                <w:rFonts w:ascii="Times New Roman" w:hAnsi="Times New Roman"/>
                <w:b/>
                <w:bCs/>
                <w:szCs w:val="18"/>
              </w:rPr>
              <w:t xml:space="preserve">(</w:t>
            </w:r>
            <w:r>
              <w:rPr>
                <w:rFonts w:hint="eastAsia" w:ascii="Times New Roman" w:hAnsi="Times New Roman"/>
                <w:b/>
                <w:bCs/>
                <w:szCs w:val="18"/>
              </w:rPr>
              <w:t xml:space="preserve">如驱动程序、</w:t>
            </w:r>
            <w:r>
              <w:rPr>
                <w:rFonts w:ascii="Times New Roman" w:hAnsi="Times New Roman"/>
                <w:b/>
                <w:bCs/>
                <w:szCs w:val="18"/>
              </w:rPr>
              <w:t xml:space="preserve">BMC </w:t>
            </w:r>
            <w:r>
              <w:rPr>
                <w:rFonts w:hint="eastAsia" w:ascii="Times New Roman" w:hAnsi="Times New Roman"/>
                <w:b/>
                <w:bCs/>
                <w:szCs w:val="18"/>
              </w:rPr>
              <w:t xml:space="preserve">软件等</w:t>
            </w:r>
            <w:r>
              <w:rPr>
                <w:rFonts w:ascii="Times New Roman" w:hAnsi="Times New Roman"/>
                <w:b/>
                <w:bCs/>
                <w:szCs w:val="18"/>
              </w:rPr>
              <w:t xml:space="preserve">)</w:t>
            </w:r>
            <w:r>
              <w:rPr>
                <w:rFonts w:hint="eastAsia" w:ascii="Times New Roman" w:hAnsi="Times New Roman"/>
                <w:b/>
                <w:bCs/>
                <w:szCs w:val="18"/>
              </w:rPr>
              <w:t xml:space="preserve">都可以查看。</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网络关键设备服务器要求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作为网络关键设备的服务器应符合GB 40050的相关规定。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增强要求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a)嵌入物理可信根，实现设备的信任链构建；</w:t>
            </w:r>
            <w:r>
              <w:rPr>
                <w:rFonts w:hint="eastAsia" w:ascii="Times New Roman" w:hAnsi="Times New Roman"/>
                <w:szCs w:val="18"/>
              </w:rPr>
              <w:br/>
            </w:r>
            <w:r>
              <w:rPr>
                <w:rFonts w:hint="eastAsia" w:ascii="Times New Roman" w:hAnsi="Times New Roman"/>
                <w:szCs w:val="18"/>
              </w:rPr>
              <w:t xml:space="preserve">b)支持可信平台控制模块(TPCM)；</w:t>
            </w:r>
            <w:r>
              <w:rPr>
                <w:rFonts w:hint="eastAsia" w:ascii="Times New Roman" w:hAnsi="Times New Roman"/>
                <w:szCs w:val="18"/>
              </w:rPr>
              <w:br/>
            </w:r>
            <w:r>
              <w:rPr>
                <w:rFonts w:hint="eastAsia" w:ascii="Times New Roman" w:hAnsi="Times New Roman"/>
                <w:szCs w:val="18"/>
              </w:rPr>
              <w:t xml:space="preserve">c)支持在固件系统（BMC、BIOS）启动前实现对固件度量的功能，支持物理可信根对BMC固件或BIOS固件进行完整性检测、更新和恢复；</w:t>
            </w:r>
            <w:r>
              <w:rPr>
                <w:rFonts w:hint="eastAsia" w:ascii="Times New Roman" w:hAnsi="Times New Roman"/>
                <w:szCs w:val="18"/>
              </w:rPr>
              <w:br/>
            </w:r>
            <w:r>
              <w:rPr>
                <w:rFonts w:hint="eastAsia" w:ascii="Times New Roman" w:hAnsi="Times New Roman"/>
                <w:szCs w:val="18"/>
              </w:rPr>
              <w:t xml:space="preserve">d)支持对CPU、网络控制器等关键处理器进行身份识别与度量的功能；</w:t>
            </w:r>
            <w:r>
              <w:rPr>
                <w:rFonts w:hint="eastAsia" w:ascii="Times New Roman" w:hAnsi="Times New Roman"/>
                <w:szCs w:val="18"/>
              </w:rPr>
              <w:br/>
            </w:r>
            <w:r>
              <w:rPr>
                <w:rFonts w:hint="eastAsia" w:ascii="Times New Roman" w:hAnsi="Times New Roman"/>
                <w:szCs w:val="18"/>
              </w:rPr>
              <w:t xml:space="preserve">e)支持基于处理器或可信计算模块度量的功能；</w:t>
            </w:r>
            <w:r>
              <w:rPr>
                <w:rFonts w:hint="eastAsia" w:ascii="Times New Roman" w:hAnsi="Times New Roman"/>
                <w:szCs w:val="18"/>
              </w:rPr>
              <w:br/>
            </w:r>
            <w:r>
              <w:rPr>
                <w:rFonts w:hint="eastAsia" w:ascii="Times New Roman" w:hAnsi="Times New Roman"/>
                <w:szCs w:val="18"/>
              </w:rPr>
              <w:t xml:space="preserve">f)所采用的可信密码模块接口应符合GM/T 0012的相关规定；</w:t>
            </w:r>
            <w:r>
              <w:rPr>
                <w:rFonts w:hint="eastAsia" w:ascii="Times New Roman" w:hAnsi="Times New Roman"/>
                <w:szCs w:val="18"/>
              </w:rPr>
              <w:br/>
            </w:r>
            <w:r>
              <w:rPr>
                <w:rFonts w:hint="eastAsia" w:ascii="Times New Roman" w:hAnsi="Times New Roman"/>
                <w:szCs w:val="18"/>
              </w:rPr>
              <w:t xml:space="preserve">g)可信安全管理模块、处理器等硬件载体应通过国家相关部门的认证和许可。</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物理安全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物理安全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★安全要求应符合 GB 4943.1的规定。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99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安全要求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限用物质的限量要求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限用物质的限量要求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★限用物质的限量应符合GB/T 26572的要求。</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CPU性能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CPU主频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★≥2.4GHz。</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单CPU核数（服务器1、服务器2）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★≥24。</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单CPU核数（服务器3）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★≥16。</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单CPU末级缓存容量（服务器1、服务器2）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▲≥64MB。</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单CPU末级缓存容量（服务器3）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▲≥32MB。</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内存性能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单内存模块容量（服务器1、服务器2）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▲≥64GB。</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单内存模块容量（服务器3）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▲≥32GB。</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内存速率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▲≥3200MT/s。</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存储性能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硬盘转速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安装的硬磁盘转速不小于7200rpm。</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109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RAID卡性能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RAID卡缓存容量大小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若配备RAID卡且RAID卡有缓存容量，容量不少于1GB。</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FC HBA卡性能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FC HBA卡速率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若配备FC HBA卡，单端口最大的连接速率不少于8Gb/s。</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网络性能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独立网卡速率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≥10GE。</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板载网卡速率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≥1GE。</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电源能耗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电源能耗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★符合 GB/T 9813.3的有关规定。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部件兼容性要求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内存兼容性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▲适配3种及以上厂商的内存产品，且均不低于产品支持的内存规格。</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固态存储兼容性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▲适配3种或以上厂商的固态存储产品，且均不低于产品支持的固态存储设备规格。</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FC HBA卡兼容性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FC HBA应适配两种或以上厂商产品。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RAID卡兼容性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RAID卡应适配两种或以上厂商产品。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网卡兼容性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▲网卡应适配两种或以上厂商产品。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119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功能卡兼容性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★内置或适配符合PCIe的功能卡，如：网络功能卡、存储功能卡及图形显示功能卡。</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外设兼容性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外设兼容性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▲兼容多种主流生产商的外部设备，包括显示器、键盘、鼠标、闪存盘、移动硬盘、USB光驱及KVM等，要求使用不同厂商的外部设备时，系统均能正常识别和安装驱动。</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软件兼容性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数据库兼容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▲兼容3个及以上厂商的数据库产品。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中间件兼容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▲兼容3个及以上厂商的中间件产品。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平台软件兼容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▲兼容3个及以上厂商的大数据平台。</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兼容要求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虚拟化软件兼容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兼容2款及以上虚拟化软件。</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可靠性要求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存储可靠性要求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SATA SSD可靠性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SSD的m1值（MTBF的不可接受值）不低于200000h。</w:t>
            </w:r>
            <w:r/>
          </w:p>
        </w:tc>
      </w:tr>
      <w:tr>
        <w:trPr>
          <w:trHeight w:val="39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可靠性要求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整机可靠性要求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整机可靠性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▲m1值（MTBF的不可接受值）不得低于30000h。</w:t>
            </w:r>
            <w:r/>
          </w:p>
        </w:tc>
      </w:tr>
      <w:tr>
        <w:trPr>
          <w:trHeight w:val="35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可靠性要求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风扇可靠性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▲风扇寿命应不低于40000h。</w:t>
            </w:r>
            <w:r/>
          </w:p>
        </w:tc>
      </w:tr>
      <w:tr>
        <w:trPr>
          <w:trHeight w:val="386"/>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可靠性要求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部件可靠性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★支持硬盘、电源、风扇热插拔(内置风扇除外)。</w:t>
            </w:r>
            <w:r/>
          </w:p>
        </w:tc>
      </w:tr>
      <w:tr>
        <w:trPr>
          <w:trHeight w:val="9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129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包装及运输要求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包装及运输要求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标志、包装、运输和贮存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★符合GB/T 9813.3和商品包装政府采购需求标准的相关规定。</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服务响应</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服务响应</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提供电话、电子邮件、远程连接等多种形式服务；b)提供同城4h、异地12h技术响应服务，2个工作日解决问题，对于未能解决的问题和故障应提供可行的升级方案，并提供周转设备；c)建立全国技术服务体系和服务团体，符合专业服务体系标准要求，提供原厂中文服务；d)服务周期内提供产品的维修、换件和升级服务。</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培训服务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★供应商提供培训材料、产品手册、培训视频等培训相关内容。</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服务周期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服务周期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a)产品免费服务周期（含换件和维修）应不小于3年；b)设备停产后继续提供质量保障服务（含备品备件），服务终止时间与最后一批设备交付时间间隔不低于6年；c)产品停止服务时间应提前1年告知客户；d)产品发布日期需在随机文件中明确。</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服务工具要求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工具要求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★供应商提供设置服务器硬件、辅助操作系统安装等功能的辅助工具和管理软件；且随附软件应具有合法授权或版权。</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辅助工具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支持如下功能</w:t>
            </w:r>
            <w:r>
              <w:rPr>
                <w:rFonts w:hint="eastAsia" w:ascii="Times New Roman" w:hAnsi="Times New Roman"/>
                <w:szCs w:val="18"/>
              </w:rPr>
              <w:br/>
            </w:r>
            <w:r>
              <w:rPr>
                <w:rFonts w:hint="eastAsia" w:ascii="Times New Roman" w:hAnsi="Times New Roman"/>
                <w:szCs w:val="18"/>
              </w:rPr>
              <w:t xml:space="preserve">a)本地的数据备份和还原功能；</w:t>
            </w:r>
            <w:r>
              <w:rPr>
                <w:rFonts w:hint="eastAsia" w:ascii="Times New Roman" w:hAnsi="Times New Roman"/>
                <w:szCs w:val="18"/>
              </w:rPr>
              <w:br/>
            </w:r>
            <w:r>
              <w:rPr>
                <w:rFonts w:hint="eastAsia" w:ascii="Times New Roman" w:hAnsi="Times New Roman"/>
                <w:szCs w:val="18"/>
              </w:rPr>
              <w:t xml:space="preserve">b)网络的数据备份和还原功能；</w:t>
            </w:r>
            <w:r>
              <w:rPr>
                <w:rFonts w:hint="eastAsia" w:ascii="Times New Roman" w:hAnsi="Times New Roman"/>
                <w:szCs w:val="18"/>
              </w:rPr>
              <w:br/>
            </w:r>
            <w:r>
              <w:rPr>
                <w:rFonts w:hint="eastAsia" w:ascii="Times New Roman" w:hAnsi="Times New Roman"/>
                <w:szCs w:val="18"/>
              </w:rPr>
              <w:t xml:space="preserve">c)服务器操作系统的自动安装功能；</w:t>
            </w:r>
            <w:r>
              <w:rPr>
                <w:rFonts w:hint="eastAsia" w:ascii="Times New Roman" w:hAnsi="Times New Roman"/>
                <w:szCs w:val="18"/>
              </w:rPr>
              <w:br/>
            </w:r>
            <w:r>
              <w:rPr>
                <w:rFonts w:hint="eastAsia" w:ascii="Times New Roman" w:hAnsi="Times New Roman"/>
                <w:szCs w:val="18"/>
              </w:rPr>
              <w:t xml:space="preserve">d)服务器所配硬件需要的驱动程序和系统补丁。</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驱动安装升级指引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★供应商提供出厂安装的配件所需的驱动程序，形式包括但不限于驱动光盘、驱动下载链接等。其他配件应提供指引。</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随机附开盖工具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随服务器打包提供开机箱工具。</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137</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代码迁移工具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提供从其他CPU架构到当前服务器CPU架构的软件迁移工具产品，支持软件包迁移评估，对满足产品重构要求的软件包，能重构为当前服务器CPU架构的软件包。提供源码迁移功能，检查分析C/C++/Fortran/Go/解释型语言/汇编等源码文件，基于产品功能给出迁移指导。</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138</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性能分析工具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供应商提供支持当前服务器CPU架构的性能分析工具产品，支持系统性能分析、Java性能分析和系统诊断，可分析系统或应用在CPU、内存、IO、网络等方面的性能，并给出优化建议。</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139</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跨架构平台应用兼容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跨CPU架构平台应用兼容工具，可兼容一种或者一种以上不同架构平台的应用。</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140</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管理软件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★具备资源管理、系统管理、性能监控、健康监控、基于网络控制、报警设置功能。</w:t>
            </w:r>
            <w:r/>
          </w:p>
        </w:tc>
      </w:tr>
      <w:tr>
        <w:trPr>
          <w:trHeight w:val="41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141</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增值服务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厂家升级产品软件与扩容服务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▲供应商提供原厂级的部件/软件产品升级和扩容能力。</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142</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服务保障升级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供应商无偿提供远程技术支持、软件授权服务、备件更换服务、现场支承服务。</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143</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提供上门服务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▲供应商具备提供上门服务的能力。</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144</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服务要求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业务场景性能优化服务及整体架构升级服务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供应商提供针对特定业务场景性能优化服务及整体架构升级服务。</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145</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供保要求</w:t>
            </w:r>
            <w:r/>
          </w:p>
        </w:tc>
        <w:tc>
          <w:tcPr>
            <w:tcW w:w="0" w:type="auto"/>
            <w:vAlign w:val="center"/>
            <w:vMerge w:val="restart"/>
            <w:textDirection w:val="lrTb"/>
            <w:noWrap w:val="false"/>
          </w:tcPr>
          <w:p>
            <w:pPr>
              <w:jc w:val="center"/>
              <w:widowControl/>
              <w:rPr>
                <w:rFonts w:ascii="Times New Roman" w:hAnsi="Times New Roman" w:cs="Arial"/>
                <w:szCs w:val="18"/>
              </w:rPr>
            </w:pPr>
            <w:r>
              <w:rPr>
                <w:rFonts w:hint="eastAsia" w:ascii="Times New Roman" w:hAnsi="Times New Roman" w:cs="Arial"/>
                <w:szCs w:val="18"/>
              </w:rPr>
              <w:t xml:space="preserve">供应链质量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抗干扰性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szCs w:val="18"/>
              </w:rPr>
            </w:pPr>
            <w:r>
              <w:rPr>
                <w:rFonts w:hint="eastAsia" w:ascii="Times New Roman" w:hAnsi="Times New Roman"/>
                <w:szCs w:val="18"/>
              </w:rPr>
              <w:t xml:space="preserve">★当产品部件出现供应风险时，应通知客户并提供风险应对方案确保产品的服务保障，必要时应停止相关受影响产品的销售。</w:t>
            </w:r>
            <w:r/>
          </w:p>
        </w:tc>
      </w:tr>
      <w:tr>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146</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供保要求</w:t>
            </w:r>
            <w:r/>
          </w:p>
        </w:tc>
        <w:tc>
          <w:tcPr>
            <w:tcW w:w="0" w:type="auto"/>
            <w:vAlign w:val="center"/>
            <w:vMerge w:val="continue"/>
            <w:textDirection w:val="lrTb"/>
            <w:noWrap w:val="false"/>
          </w:tcPr>
          <w:p>
            <w:pPr>
              <w:widowControl/>
              <w:rPr>
                <w:rFonts w:ascii="Times New Roman" w:hAnsi="Times New Roman" w:cs="Arial"/>
                <w:szCs w:val="18"/>
              </w:rPr>
            </w:pPr>
            <w:r>
              <w:rPr>
                <w:rFonts w:ascii="Times New Roman" w:hAnsi="Times New Roman" w:cs="Arial"/>
                <w:szCs w:val="1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imes New Roman" w:hAnsi="Times New Roman"/>
                <w:szCs w:val="18"/>
              </w:rPr>
            </w:pPr>
            <w:r>
              <w:rPr>
                <w:rFonts w:hint="eastAsia" w:ascii="Times New Roman" w:hAnsi="Times New Roman"/>
                <w:szCs w:val="18"/>
              </w:rPr>
              <w:t xml:space="preserve">供应能力证明</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widowControl/>
              <w:rPr>
                <w:rFonts w:ascii="Times New Roman" w:hAnsi="Times New Roman"/>
                <w:b/>
                <w:bCs/>
                <w:szCs w:val="18"/>
              </w:rPr>
            </w:pPr>
            <w:r>
              <w:rPr>
                <w:rFonts w:hint="eastAsia" w:ascii="Times New Roman" w:hAnsi="Times New Roman"/>
                <w:b/>
                <w:bCs/>
                <w:szCs w:val="18"/>
              </w:rPr>
              <w:t xml:space="preserve">★供应商提供供应链稳定承诺书，确保产品的部件在产品服务周期内稳定供货。</w:t>
            </w:r>
            <w:r/>
          </w:p>
        </w:tc>
      </w:tr>
    </w:tbl>
    <w:p>
      <w:r/>
      <w:r/>
    </w:p>
    <w:p>
      <w:r/>
      <w:r/>
    </w:p>
    <w:tbl>
      <w:tblPr>
        <w:tblStyle w:val="791"/>
        <w:tblW w:w="905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59"/>
        <w:gridCol w:w="5245"/>
        <w:gridCol w:w="738"/>
        <w:gridCol w:w="810"/>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Times New Roman" w:hAnsi="Times New Roman" w:cs="宋体"/>
                <w:szCs w:val="20"/>
              </w:rPr>
            </w:pPr>
            <w:r>
              <w:rPr>
                <w:rFonts w:hint="eastAsia" w:ascii="Times New Roman" w:hAnsi="Times New Roman" w:cs="宋体"/>
                <w:szCs w:val="20"/>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设备名称</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规格参数</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单位</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数量</w:t>
            </w:r>
            <w:r/>
          </w:p>
        </w:tc>
      </w:tr>
      <w:tr>
        <w:trPr/>
        <w:tc>
          <w:tcPr>
            <w:tcW w:w="704" w:type="dxa"/>
            <w:vAlign w:val="center"/>
            <w:textDirection w:val="lrTb"/>
            <w:noWrap w:val="false"/>
          </w:tcPr>
          <w:p>
            <w:pPr>
              <w:jc w:val="center"/>
              <w:rPr>
                <w:rFonts w:ascii="Times New Roman" w:hAnsi="Times New Roman" w:cs="宋体"/>
                <w:szCs w:val="11"/>
              </w:rPr>
            </w:pPr>
            <w:r>
              <w:t xml:space="preserve">7</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监控服务器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1.尺寸：2U机架式服务器机箱；处理器：1颗国产化CPU，16核，2.2GHz；内存：配置64G内存（2根</w:t>
            </w:r>
            <w:r>
              <w:rPr>
                <w:rFonts w:hint="eastAsia" w:ascii="Times New Roman" w:hAnsi="Times New Roman" w:cs="宋体"/>
                <w:szCs w:val="11"/>
              </w:rPr>
              <w:t xml:space="preserve">32GB DDR4 RDIMM ECC 内存条）内存槽位数16个，最大单根支持：64GB，最大支持内存1024GB支持 UDIMM/RDIMM；硬盘：配置2块2T 3.5寸 SATA热插拔机械硬盘最大支持12块3.5吋/2.5吋SSD/SAS/SATA硬盘；电源：2个550W交流电源模块，支持热插拔，支持1+1冗余100–240VAC，50/60Hz，7.0-3.5A支持240V直流输入；风扇：4 个热插拔N+1冗余风扇模组；RAID卡：LSI 3008 SAS卡/无缓存，支持RAID 0/1/10/1E。</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8</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听力考试保障系统UPS</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1.额定容量 10kVA / 10kW（功率因数≥0.9）；输入电压 220V AC ±20%；输入频率 50Hz/60Hz ±5%；输出电压 220V AC（可调±5%）；输出频率 50Hz/60Hz。</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9</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UPS输出柜1</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不低于2000*600*1200mm；功率≥30KW；冷轧板静电喷塑，防氧化，厚度≥1.2mm；采用漏保空开，数量规格根据现场使用需求配备；具备防雷装置；采用智能仪表；具备监控系统通讯接口；含配套电力电缆WDZA-YJV-4*16+1*10mm²，满足使用需求。</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10</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模块化UPS柜</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投满足机房配电灵活性和可扩容性，总体要求如下：输入输出空开要求：总输入空开容量≥400A/3P、UPS输入输出空开容量≥250A/3P、空调空开容量≥63A/3P、IT空开容量≥40A/1P、照明空开容量≥10A/1P；集成UPS电源：模块化UPS主机框≥120KVA，配备功率模块不少于2个，单个模块功率大于等于30KVA，输出功率：1。</w:t>
            </w:r>
            <w:r/>
          </w:p>
          <w:p>
            <w:pPr>
              <w:rPr>
                <w:rFonts w:ascii="Times New Roman" w:hAnsi="Times New Roman" w:cs="宋体"/>
                <w:szCs w:val="11"/>
              </w:rPr>
            </w:pPr>
            <w:r>
              <w:rPr>
                <w:rFonts w:hint="eastAsia" w:ascii="Times New Roman" w:hAnsi="Times New Roman" w:cs="宋体"/>
                <w:szCs w:val="11"/>
              </w:rPr>
              <w:t xml:space="preserve">▲2.一体化UPS产品应具备较高的抗震等级，可以在极端条件下保持可靠运行。</w:t>
            </w:r>
            <w:r/>
          </w:p>
          <w:p>
            <w:pPr>
              <w:rPr>
                <w:rFonts w:ascii="Times New Roman" w:hAnsi="Times New Roman" w:cs="宋体"/>
                <w:b/>
                <w:bCs/>
                <w:szCs w:val="11"/>
              </w:rPr>
            </w:pPr>
            <w:r>
              <w:rPr>
                <w:rFonts w:hint="eastAsia" w:ascii="Times New Roman" w:hAnsi="Times New Roman" w:cs="宋体"/>
                <w:b/>
                <w:bCs/>
                <w:szCs w:val="11"/>
              </w:rPr>
              <w:t xml:space="preserve">▲3.UPS应满足YD/T 2165《通信用模块化不间断电源》标准，采用模块化设计，单功率模块的额定输出功率大于等于30KVA ，且功率模块、旁路模块 和控制模块均支持热插拔；当某功率模块发生故障时，应自动退出系统而不影响其他模块的正常工作，系统输出不中断,提供相关证明材料。</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4.UPS系统应具有人机交互性能，可管理供配电系统。</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11</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UPS输出柜2</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不低于2000*600*1200mm，功率≥12KW；冷轧板静电喷塑，防氧化，厚度≥1.2mm；采用漏保空开，数量规格根据现场使用需求配备；具备防雷装置；采用智能仪表；具备监控系统通讯接口；含配套电力电缆WDZA-YJV-4*10+1*6mm²，满足使用需求。</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12</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UPS主机</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1.在线双变换高频主机单进单出/三进单出/三进三出，容量10KVA；100%阻性负载系统效率≥95.1%，50%阻性负载系统效率≥95%，30%</w:t>
            </w:r>
            <w:r>
              <w:rPr>
                <w:rFonts w:hint="eastAsia" w:ascii="Times New Roman" w:hAnsi="Times New Roman" w:cs="宋体"/>
                <w:szCs w:val="11"/>
              </w:rPr>
              <w:t xml:space="preserve">阻性负载系统效率≥93.9%，ECO模式效率可达99%；UPS要求具有较强的带载能力，输出功率因数PF=0.9；输出波形失真度(THDv)：100%线性负载下&lt;2%；支持铅酸备电；铅酸电池：384～480Vdc，支持电池节数32~40节可调；UPS输入频率范围：40-70Hz；交流输出电压220/230/240Vac±1%；逆变输出具有较强的过载能力，优于且不低于下述标准：负载≤105%持续工作，105~125%负载下5Min转旁路，125~150%负载下1Min转旁路，负载量＞150% 100ms转旁路。</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套</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13</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触控一体机（86寸智能会议平板）</w:t>
            </w:r>
            <w:r/>
          </w:p>
        </w:tc>
        <w:tc>
          <w:tcPr>
            <w:tcW w:w="5245" w:type="dxa"/>
            <w:vAlign w:val="center"/>
            <w:textDirection w:val="lrTb"/>
            <w:noWrap w:val="false"/>
          </w:tcPr>
          <w:p>
            <w:pPr>
              <w:rPr>
                <w:rFonts w:ascii="Times New Roman" w:hAnsi="Times New Roman" w:cs="宋体"/>
                <w:b/>
                <w:bCs/>
                <w:szCs w:val="11"/>
              </w:rPr>
            </w:pPr>
            <w:r>
              <w:rPr>
                <w:rFonts w:hint="eastAsia" w:ascii="Times New Roman" w:hAnsi="Times New Roman" w:cs="宋体"/>
                <w:bCs/>
                <w:iCs/>
                <w:szCs w:val="15"/>
              </w:rPr>
              <w:t xml:space="preserve">○</w:t>
            </w:r>
            <w:r>
              <w:rPr>
                <w:rFonts w:hint="eastAsia" w:ascii="Times New Roman" w:hAnsi="Times New Roman" w:cs="宋体"/>
                <w:b/>
                <w:bCs/>
                <w:szCs w:val="11"/>
              </w:rPr>
              <w:t xml:space="preserve">1.采用高强度钢化玻璃，防撞防划，具备防眩光效果，钢化玻璃硬度达到莫氏7级或9H（提供相关证明材料）。</w:t>
            </w:r>
            <w:r/>
          </w:p>
          <w:p>
            <w:pPr>
              <w:rPr>
                <w:rFonts w:hint="eastAsia" w:ascii="Times New Roman" w:hAnsi="Times New Roman" w:cs="宋体"/>
                <w:szCs w:val="11"/>
                <w:lang w:eastAsia="zh-CN"/>
              </w:rPr>
            </w:pPr>
            <w:r>
              <w:rPr>
                <w:rFonts w:hint="eastAsia" w:ascii="Times New Roman" w:hAnsi="Times New Roman" w:cs="宋体"/>
                <w:bCs/>
                <w:iCs/>
                <w:szCs w:val="15"/>
              </w:rPr>
              <w:t xml:space="preserve">○</w:t>
            </w:r>
            <w:r>
              <w:rPr>
                <w:rFonts w:hint="eastAsia" w:ascii="Times New Roman" w:hAnsi="Times New Roman" w:cs="宋体"/>
                <w:szCs w:val="11"/>
              </w:rPr>
              <w:t xml:space="preserve">2.屏幕尺寸≥86英寸，分辨率≥3840×2160，产品采用多点触控技术，在双系统下均支持40点同时触控及书写；整机内置≥2.2声道扬声器，额定总功率≥60W；具有前置物理按键，可实现音量加减等功能；整机无需外接无线网卡，内置WiFi6无线网卡，可实现无线上网连接和BT蓝牙连接功能</w:t>
            </w:r>
            <w:r>
              <w:rPr>
                <w:rFonts w:hint="eastAsia" w:ascii="Times New Roman" w:hAnsi="Times New Roman" w:cs="宋体"/>
                <w:szCs w:val="11"/>
                <w:lang w:eastAsia="zh-CN"/>
              </w:rPr>
              <w:t xml:space="preserve">。</w:t>
            </w:r>
            <w:r/>
          </w:p>
          <w:p>
            <w:pPr>
              <w:rPr>
                <w:rFonts w:hint="eastAsia" w:ascii="Times New Roman" w:hAnsi="Times New Roman" w:cs="宋体"/>
                <w:szCs w:val="11"/>
                <w:lang w:eastAsia="zh-CN"/>
              </w:rPr>
            </w:pPr>
            <w:r>
              <w:rPr>
                <w:rFonts w:hint="eastAsia" w:ascii="Times New Roman" w:hAnsi="Times New Roman" w:cs="宋体"/>
                <w:bCs/>
                <w:iCs/>
                <w:szCs w:val="18"/>
              </w:rPr>
              <w:t xml:space="preserve">○</w:t>
            </w:r>
            <w:r>
              <w:rPr>
                <w:rFonts w:hint="eastAsia" w:ascii="Times New Roman" w:hAnsi="Times New Roman" w:cs="宋体"/>
                <w:szCs w:val="15"/>
                <w:lang w:val="en-US" w:eastAsia="zh-CN"/>
              </w:rPr>
              <w:t xml:space="preserve">3</w:t>
            </w:r>
            <w:r>
              <w:rPr>
                <w:rFonts w:hint="eastAsia" w:ascii="Times New Roman" w:hAnsi="Times New Roman" w:cs="宋体"/>
                <w:szCs w:val="15"/>
              </w:rPr>
              <w:t xml:space="preserve">.</w:t>
            </w:r>
            <w:r>
              <w:rPr>
                <w:rFonts w:hint="eastAsia" w:ascii="Times New Roman" w:hAnsi="Times New Roman" w:cs="宋体"/>
                <w:szCs w:val="11"/>
              </w:rPr>
              <w:t xml:space="preserve">双系统均可实现无线上网功能；双系统设计，嵌入式安卓操作系统版本不低于Android14.0；同时嵌入式Android操作系统下可实现windows系统中常用的教学应用功能，如白板书写、WPS软件使用和网页浏览，安卓系统ram≥2G；rom≥8G；内置一体化摄像头，单颗摄像头有效像素不低于1300W</w:t>
            </w:r>
            <w:r>
              <w:rPr>
                <w:rFonts w:hint="eastAsia" w:ascii="Times New Roman" w:hAnsi="Times New Roman" w:cs="宋体"/>
                <w:szCs w:val="11"/>
                <w:lang w:eastAsia="zh-CN"/>
              </w:rPr>
              <w:t xml:space="preserve">。</w:t>
            </w:r>
            <w:r/>
          </w:p>
          <w:p>
            <w:pPr>
              <w:rPr>
                <w:rFonts w:ascii="Times New Roman" w:hAnsi="Times New Roman" w:cs="宋体"/>
                <w:szCs w:val="11"/>
              </w:rPr>
            </w:pPr>
            <w:r>
              <w:rPr>
                <w:rFonts w:hint="eastAsia" w:ascii="Times New Roman" w:hAnsi="Times New Roman" w:cs="宋体"/>
                <w:bCs/>
                <w:iCs/>
                <w:szCs w:val="18"/>
              </w:rPr>
              <w:t xml:space="preserve">○</w:t>
            </w:r>
            <w:r>
              <w:rPr>
                <w:rFonts w:hint="eastAsia" w:ascii="Times New Roman" w:hAnsi="Times New Roman" w:cs="宋体"/>
                <w:szCs w:val="15"/>
                <w:lang w:val="en-US" w:eastAsia="zh-CN"/>
              </w:rPr>
              <w:t xml:space="preserve">4</w:t>
            </w:r>
            <w:r>
              <w:rPr>
                <w:rFonts w:hint="eastAsia" w:ascii="Times New Roman" w:hAnsi="Times New Roman" w:cs="宋体"/>
                <w:szCs w:val="15"/>
              </w:rPr>
              <w:t xml:space="preserve">.</w:t>
            </w:r>
            <w:r>
              <w:rPr>
                <w:rFonts w:hint="eastAsia" w:ascii="Times New Roman" w:hAnsi="Times New Roman" w:cs="宋体"/>
                <w:szCs w:val="11"/>
              </w:rPr>
              <w:t xml:space="preserve">整机接口（不接受扩展方式）：整机接口（不接受扩展方式）：USB Type-C ≥1，HDMI≥1，双通道USB 3.0≥2；智能交互平板全通道支持纸质护眼模式，可实现画面纹理的实时调整；支持纸质纹理：素描纸、宣纸、水彩纸。支持透明度调节；支持动态压力模拟，支持无任何电子功能的普通书写笔，在交互平板上书写或点压时，整机能感应压力变化，书写或点压过程笔迹呈现不同粗细。</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14</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PC模块</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1.采用插拔式电脑模块架构，CPU主频≥2.0Hz,≥8核，≥8线程；≥8G内存，≥256G-SSD固态硬盘。</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20"/>
                <w:highlight w:val="cyan"/>
              </w:rPr>
            </w:pPr>
            <w:r>
              <w:t xml:space="preserve">15</w:t>
            </w:r>
            <w:r/>
          </w:p>
        </w:tc>
        <w:tc>
          <w:tcPr>
            <w:tcW w:w="1559" w:type="dxa"/>
            <w:vAlign w:val="center"/>
            <w:textDirection w:val="lrTb"/>
            <w:noWrap w:val="false"/>
          </w:tcPr>
          <w:p>
            <w:pPr>
              <w:rPr>
                <w:rFonts w:hint="eastAsia" w:ascii="Times New Roman" w:hAnsi="Times New Roman" w:cs="宋体"/>
                <w:szCs w:val="11"/>
              </w:rPr>
            </w:pPr>
            <w:r>
              <w:rPr>
                <w:rFonts w:hint="eastAsia" w:ascii="Times New Roman" w:hAnsi="Times New Roman" w:cs="宋体"/>
                <w:szCs w:val="11"/>
              </w:rPr>
              <w:t xml:space="preserve">移动支架</w:t>
            </w:r>
            <w:r/>
          </w:p>
        </w:tc>
        <w:tc>
          <w:tcPr>
            <w:tcW w:w="5245" w:type="dxa"/>
            <w:vAlign w:val="center"/>
            <w:textDirection w:val="lrTb"/>
            <w:noWrap w:val="false"/>
          </w:tcPr>
          <w:p>
            <w:pPr>
              <w:rPr>
                <w:rFonts w:hint="eastAsia" w:ascii="Times New Roman" w:hAnsi="Times New Roman" w:cs="宋体"/>
                <w:szCs w:val="11"/>
              </w:rPr>
            </w:pPr>
            <w:r>
              <w:rPr>
                <w:rFonts w:hint="eastAsia" w:ascii="Times New Roman" w:hAnsi="Times New Roman" w:cs="宋体"/>
                <w:szCs w:val="11"/>
              </w:rPr>
              <w:t xml:space="preserve">○1.适合屏幕尺寸:适配触控一体机（86寸智能会议平板）；标准承重:100KG；材质:SPCC；产品颜色:黑色；表面处理:喷粉烤漆</w:t>
            </w:r>
            <w:r/>
          </w:p>
        </w:tc>
        <w:tc>
          <w:tcPr>
            <w:tcW w:w="738" w:type="dxa"/>
            <w:vAlign w:val="center"/>
            <w:textDirection w:val="lrTb"/>
            <w:noWrap/>
          </w:tcPr>
          <w:p>
            <w:pPr>
              <w:jc w:val="center"/>
              <w:rPr>
                <w:rFonts w:ascii="Times New Roman" w:hAnsi="Times New Roman" w:cs="宋体"/>
                <w:szCs w:val="11"/>
                <w:highlight w:val="cyan"/>
              </w:rPr>
            </w:pPr>
            <w:r>
              <w:rPr>
                <w:rFonts w:hint="eastAsia" w:ascii="Times New Roman" w:hAnsi="Times New Roman" w:cs="宋体"/>
                <w:szCs w:val="11"/>
                <w:highlight w:val="none"/>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3</w:t>
            </w:r>
            <w:r/>
          </w:p>
        </w:tc>
      </w:tr>
      <w:tr>
        <w:trPr/>
        <w:tc>
          <w:tcPr>
            <w:tcW w:w="704" w:type="dxa"/>
            <w:vAlign w:val="center"/>
            <w:textDirection w:val="lrTb"/>
            <w:noWrap w:val="false"/>
          </w:tcPr>
          <w:p>
            <w:pPr>
              <w:jc w:val="center"/>
              <w:rPr>
                <w:rFonts w:ascii="Times New Roman" w:hAnsi="Times New Roman" w:cs="宋体"/>
                <w:szCs w:val="11"/>
              </w:rPr>
            </w:pPr>
            <w:r>
              <w:t xml:space="preserve">16</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触控一体机（含OPS）（核心产品）</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★1.智能交互平板显示尺寸≥86英寸，分辨率：3840*2160，红外触控技术，在双系统下均支持40点触控。</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智能交互平板表面玻璃采用高强度钢化玻璃，AG防眩光，厚度≤4mm，硬度≥莫氏7级（或9H）；智能交互平板背光系统支持DC调光方式，多级亮度调节，拍摄时画面无条纹闪烁；光源稳定无频闪，防止眼睛疲劳；前置接口采用隐藏式设计，具有翻转式防护盖板；整机至少具备1路HDMI接口（非转接），2路USB3.0接口，1路Type-C接口（具备数据传输、充电等功能）；标配 HDMI输入≥2路，HDMI输出≥1路（支持安卓及其他通道信号输出）；智能交互平板前置按键可实现音量加减等功能。</w:t>
            </w:r>
            <w:r/>
          </w:p>
          <w:p>
            <w:pPr>
              <w:rPr>
                <w:rFonts w:ascii="Times New Roman" w:hAnsi="Times New Roman" w:cs="宋体"/>
                <w:szCs w:val="11"/>
              </w:rPr>
            </w:pPr>
            <w:r>
              <w:rPr>
                <w:rFonts w:hint="eastAsia" w:ascii="Times New Roman" w:hAnsi="Times New Roman" w:cs="宋体"/>
                <w:szCs w:val="11"/>
              </w:rPr>
              <w:t xml:space="preserve">★3.Android 系统版本≥14.0,内存≥2G，存储≥8G。</w:t>
            </w:r>
            <w:r/>
          </w:p>
          <w:p>
            <w:pPr>
              <w:rPr>
                <w:rFonts w:ascii="Times New Roman" w:hAnsi="Times New Roman" w:cs="宋体"/>
                <w:b/>
                <w:bCs/>
                <w:szCs w:val="11"/>
              </w:rPr>
            </w:pPr>
            <w:r>
              <w:rPr>
                <w:rFonts w:hint="eastAsia" w:ascii="Times New Roman" w:hAnsi="Times New Roman" w:cs="宋体"/>
                <w:b/>
                <w:bCs/>
                <w:szCs w:val="11"/>
              </w:rPr>
              <w:t xml:space="preserve">★4.不低于2.2声道，最大功率≥60W, 扬声器在100%音量下，1米处声压级≥90dB，10米处声压级≥80dB；最低谐振频率不高于100Hz（提供相关证明材料）。</w:t>
            </w:r>
            <w:r/>
          </w:p>
          <w:p>
            <w:pPr>
              <w:rPr>
                <w:rFonts w:ascii="Times New Roman" w:hAnsi="Times New Roman" w:cs="宋体"/>
                <w:b/>
                <w:bCs/>
                <w:szCs w:val="11"/>
              </w:rPr>
            </w:pPr>
            <w:r>
              <w:rPr>
                <w:rFonts w:hint="eastAsia" w:ascii="Times New Roman" w:hAnsi="Times New Roman" w:cs="宋体"/>
                <w:b/>
                <w:bCs/>
                <w:szCs w:val="11"/>
              </w:rPr>
              <w:t xml:space="preserve">▲5.内置一体化超高清摄像头，单颗摄像头有效像素≥1300W，支持实现自动点数、抽取功能，支持远程巡课功能（提供相关证明材料）。</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6.智能交互平板内置麦克风，拾音角度≥180°，可用于对教室环境音频进行采集；智能交互平板具备系统还原功能。智能交互平板具备无线（包括Wi-Fi和Bluetooth蓝牙）独立模块，支持单独拆卸；内置Wi-Fi6无线网卡，支持2.4G、5G双频，支持无线设备同时连接数量≥8个。</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7.内置电脑：即插即用，易于维护；CPU主频≥2.0GHz,≥8核，≥8线程；内存：≥16G DDR4；硬盘：≥512G SSD固态硬盘；接口：整机具备≥5个USB接口；具有独立非外扩展的视频输出接口：≥1路HDMI等。</w:t>
            </w:r>
            <w:r/>
          </w:p>
          <w:p>
            <w:pPr>
              <w:rPr>
                <w:rFonts w:ascii="Times New Roman" w:hAnsi="Times New Roman" w:cs="宋体"/>
                <w:szCs w:val="11"/>
              </w:rPr>
            </w:pPr>
            <w:r>
              <w:rPr>
                <w:rFonts w:ascii="Times New Roman" w:hAnsi="Times New Roman" w:cs="宋体"/>
                <w:szCs w:val="11"/>
              </w:rPr>
            </w:r>
            <w:r/>
          </w:p>
          <w:p>
            <w:pPr>
              <w:rPr>
                <w:rFonts w:ascii="Times New Roman" w:hAnsi="Times New Roman" w:cs="宋体"/>
                <w:szCs w:val="11"/>
              </w:rPr>
            </w:pPr>
            <w:r>
              <w:rPr>
                <w:rFonts w:hint="eastAsia" w:ascii="Times New Roman" w:hAnsi="Times New Roman" w:cs="宋体"/>
                <w:szCs w:val="11"/>
              </w:rPr>
              <w:t xml:space="preserve">配备集控管理平台，具体要求如下：</w:t>
            </w:r>
            <w:r/>
          </w:p>
          <w:p>
            <w:pPr>
              <w:rPr>
                <w:rFonts w:hint="eastAsia" w:ascii="Times New Roman" w:hAnsi="Times New Roman" w:cs="宋体"/>
                <w:szCs w:val="11"/>
                <w:lang w:val="en-US" w:eastAsia="zh-CN"/>
              </w:rPr>
            </w:pPr>
            <w:r>
              <w:rPr>
                <w:rFonts w:hint="eastAsia" w:ascii="Times New Roman" w:hAnsi="Times New Roman" w:cs="宋体"/>
                <w:bCs/>
                <w:iCs/>
                <w:szCs w:val="15"/>
              </w:rPr>
              <w:t xml:space="preserve">○</w:t>
            </w:r>
            <w:r>
              <w:rPr>
                <w:rFonts w:hint="eastAsia" w:ascii="Times New Roman" w:hAnsi="Times New Roman" w:cs="宋体"/>
                <w:szCs w:val="11"/>
              </w:rPr>
              <w:t xml:space="preserve">1.后台控制端采用B/S 架构设计，可在 Windows、Linux、Android、IOS 等多种不同的操作系统上通过网页浏览器登录进行操作；支持批量清理单个或多个磁盘文件夹，释放设备磁盘空间；支持格式化非系统盘磁盘，保障设备有足够空间来使用；多层级用户管理：可设置不同权限的管理员，分配地点管理校园设备；用户账号与云端账号统一，根据手机号自动获取用户信息</w:t>
            </w:r>
            <w:r>
              <w:rPr>
                <w:rFonts w:hint="eastAsia" w:ascii="Times New Roman" w:hAnsi="Times New Roman" w:cs="宋体"/>
                <w:szCs w:val="11"/>
                <w:lang w:val="en-US" w:eastAsia="zh-CN"/>
              </w:rPr>
              <w:t xml:space="preserve">。</w:t>
            </w:r>
            <w:r/>
          </w:p>
          <w:p>
            <w:pPr>
              <w:rPr>
                <w:rFonts w:ascii="Times New Roman" w:hAnsi="Times New Roman" w:cs="宋体"/>
                <w:szCs w:val="11"/>
              </w:rPr>
            </w:pPr>
            <w:r>
              <w:rPr>
                <w:rFonts w:hint="eastAsia" w:ascii="Times New Roman" w:hAnsi="Times New Roman" w:cs="宋体"/>
                <w:bCs/>
                <w:iCs/>
                <w:szCs w:val="18"/>
              </w:rPr>
              <w:t xml:space="preserve">○</w:t>
            </w:r>
            <w:r>
              <w:rPr>
                <w:rFonts w:hint="eastAsia" w:ascii="Times New Roman" w:hAnsi="Times New Roman" w:cs="宋体"/>
                <w:szCs w:val="15"/>
                <w:lang w:val="en-US" w:eastAsia="zh-CN"/>
              </w:rPr>
              <w:t xml:space="preserve">2</w:t>
            </w:r>
            <w:r>
              <w:rPr>
                <w:rFonts w:hint="eastAsia" w:ascii="Times New Roman" w:hAnsi="Times New Roman" w:cs="宋体"/>
                <w:szCs w:val="15"/>
              </w:rPr>
              <w:t xml:space="preserve">.</w:t>
            </w:r>
            <w:r>
              <w:rPr>
                <w:rFonts w:hint="eastAsia" w:ascii="Times New Roman" w:hAnsi="Times New Roman" w:cs="宋体"/>
                <w:szCs w:val="11"/>
              </w:rPr>
              <w:t xml:space="preserve">设备详情：查看校园内所有设备的状态，包括在线、离线状态，教室名称、内存使用率、CPU使用率、C盘使用率，支持按照设备类型、设备名称进行查询筛选；支持按列表展示以及按缩略图展示；具备发布信息功能：可即时向任意选定的设备发布纯文本信息；文件分发：支持多文件推送至任意选定的设备，包括文本、图片、pdf、word、excel、ppt、flash、音视频；软件管理：支持上传软件至平台，自动下发至桌面进行自动运行安装。 </w:t>
            </w:r>
            <w:r/>
          </w:p>
          <w:p>
            <w:pPr>
              <w:rPr>
                <w:rFonts w:ascii="Times New Roman" w:hAnsi="Times New Roman" w:cs="宋体"/>
                <w:b/>
                <w:bCs/>
                <w:szCs w:val="11"/>
              </w:rPr>
            </w:pPr>
            <w:r>
              <w:rPr>
                <w:rFonts w:hint="eastAsia" w:ascii="Times New Roman" w:hAnsi="Times New Roman" w:cs="宋体"/>
                <w:b/>
                <w:bCs/>
                <w:szCs w:val="11"/>
              </w:rPr>
              <w:t xml:space="preserve">★</w:t>
            </w:r>
            <w:r>
              <w:rPr>
                <w:rFonts w:hint="eastAsia" w:ascii="Times New Roman" w:hAnsi="Times New Roman" w:cs="宋体"/>
                <w:b/>
                <w:bCs/>
                <w:szCs w:val="11"/>
                <w:lang w:val="en-US" w:eastAsia="zh-CN"/>
              </w:rPr>
              <w:t xml:space="preserve">3</w:t>
            </w:r>
            <w:r>
              <w:rPr>
                <w:rFonts w:hint="eastAsia" w:ascii="Times New Roman" w:hAnsi="Times New Roman" w:cs="宋体"/>
                <w:b/>
                <w:bCs/>
                <w:szCs w:val="11"/>
              </w:rPr>
              <w:t xml:space="preserve">.远程巡课：默认查看当前屏幕画面，实时监控当前设备桌面，支持查看设备不少于80台；可切换摄像头画面，同步教室声音；无需部署本地巡课服务器（提供相关证明材料） 。</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lang w:val="en-US" w:eastAsia="zh-CN"/>
              </w:rPr>
              <w:t xml:space="preserve">4</w:t>
            </w:r>
            <w:r>
              <w:rPr>
                <w:rFonts w:hint="eastAsia" w:ascii="Times New Roman" w:hAnsi="Times New Roman" w:cs="宋体"/>
                <w:szCs w:val="11"/>
              </w:rPr>
              <w:t xml:space="preserve">.用户设置：支持查看用户姓名、账号、分组权限，支持手机号开通用户，用户编辑、批量删除用户等功能。</w:t>
            </w:r>
            <w:r/>
          </w:p>
          <w:p>
            <w:pPr>
              <w:rPr>
                <w:rFonts w:ascii="Times New Roman" w:hAnsi="Times New Roman" w:cs="宋体"/>
                <w:szCs w:val="11"/>
              </w:rPr>
            </w:pPr>
            <w:r>
              <w:rPr>
                <w:rFonts w:hint="eastAsia" w:ascii="Times New Roman" w:hAnsi="Times New Roman" w:cs="宋体"/>
                <w:szCs w:val="11"/>
              </w:rPr>
              <w:t xml:space="preserve">★</w:t>
            </w:r>
            <w:r>
              <w:rPr>
                <w:rFonts w:hint="eastAsia" w:ascii="Times New Roman" w:hAnsi="Times New Roman" w:cs="宋体"/>
                <w:szCs w:val="11"/>
                <w:lang w:val="en-US" w:eastAsia="zh-CN"/>
              </w:rPr>
              <w:t xml:space="preserve">5</w:t>
            </w:r>
            <w:r>
              <w:rPr>
                <w:rFonts w:hint="eastAsia" w:ascii="Times New Roman" w:hAnsi="Times New Roman" w:cs="宋体"/>
                <w:szCs w:val="11"/>
              </w:rPr>
              <w:t xml:space="preserve">.具备网址过滤功能，支持限制所有设备的网址访问。支持在巡课时进行巡课喊话、巡课备注和教学评价，并可在巡课记录中查看巡课备注以及教学评价的相关信息。产品需要满足学校采购的一体机设备管理要求。</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111</w:t>
            </w:r>
            <w:r/>
          </w:p>
        </w:tc>
      </w:tr>
      <w:tr>
        <w:trPr/>
        <w:tc>
          <w:tcPr>
            <w:tcW w:w="704" w:type="dxa"/>
            <w:vAlign w:val="center"/>
            <w:textDirection w:val="lrTb"/>
            <w:noWrap w:val="false"/>
          </w:tcPr>
          <w:p>
            <w:pPr>
              <w:jc w:val="center"/>
              <w:rPr>
                <w:rFonts w:ascii="Times New Roman" w:hAnsi="Times New Roman" w:cs="宋体"/>
                <w:szCs w:val="11"/>
              </w:rPr>
            </w:pPr>
            <w:r>
              <w:t xml:space="preserve">17</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推拉绿板</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▲1.结构：双层结构，内层为两块固定书写板左右各一块，中间预留放置电子产品空间，外层为两块滑动书写板。</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尺寸：≥4200mm×1200mm，可根据所配电子产品适当调整，确保与电子产品的有效配套；滑块：耐高温，耐腐蚀，自润滑，耐磨，滑块与外框紧密接触，有效避免内板前后晃动，具有滑动板拉动轻便顺畅、无滚动噪音等优点，书写体验度高；自阻尼设计，避免于滑动板书写时左右晃动。</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套</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111</w:t>
            </w:r>
            <w:r/>
          </w:p>
        </w:tc>
      </w:tr>
      <w:tr>
        <w:trPr/>
        <w:tc>
          <w:tcPr>
            <w:tcW w:w="704" w:type="dxa"/>
            <w:vAlign w:val="center"/>
            <w:textDirection w:val="lrTb"/>
            <w:noWrap w:val="false"/>
          </w:tcPr>
          <w:p>
            <w:pPr>
              <w:jc w:val="center"/>
              <w:rPr>
                <w:rFonts w:ascii="Times New Roman" w:hAnsi="Times New Roman" w:cs="宋体"/>
                <w:szCs w:val="11"/>
              </w:rPr>
            </w:pPr>
            <w:r>
              <w:t xml:space="preserve">18</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激光打印机</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1.打印、复印、扫描，黑白打印速度：≥33ppm；双面功能：自动；网络功能：支持无线/有线网络打印。</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10</w:t>
            </w:r>
            <w:r/>
          </w:p>
        </w:tc>
      </w:tr>
      <w:tr>
        <w:trPr/>
        <w:tc>
          <w:tcPr>
            <w:tcW w:w="704" w:type="dxa"/>
            <w:vAlign w:val="center"/>
            <w:textDirection w:val="lrTb"/>
            <w:noWrap w:val="false"/>
          </w:tcPr>
          <w:p>
            <w:pPr>
              <w:jc w:val="center"/>
              <w:rPr>
                <w:rFonts w:ascii="Times New Roman" w:hAnsi="Times New Roman" w:cs="宋体"/>
                <w:szCs w:val="11"/>
              </w:rPr>
            </w:pPr>
            <w:r>
              <w:t xml:space="preserve">19</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A3速印机  </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1.印刷速度：≥130张/分钟；扫描分辨率：≥600*600dpi，印刷分辨率：≥300*600dpi。</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20</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数码速印机</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复印、打印：</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1.速度≥80页/分钟（A4横向）40页/分钟（A3横向）。分辨率：600*600dpi；内存容量：≥8G；硬盘容量：≥256GB；纸张容量：≥3000页；打印分辨率：不小于1200*1200dpi。</w:t>
            </w:r>
            <w:r/>
          </w:p>
          <w:p>
            <w:pPr>
              <w:rPr>
                <w:rFonts w:ascii="Times New Roman" w:hAnsi="Times New Roman" w:cs="宋体"/>
                <w:szCs w:val="11"/>
              </w:rPr>
            </w:pPr>
            <w:r>
              <w:rPr>
                <w:rFonts w:hint="eastAsia" w:ascii="Times New Roman" w:hAnsi="Times New Roman" w:cs="宋体"/>
                <w:szCs w:val="11"/>
              </w:rPr>
              <w:t xml:space="preserve">扫描：</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1.速度：单面≤140页/分钟；双面≤280页/分钟（A4横向）；扫描分辨率：100-600dpi；最大扫描原稿：A3。</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21</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多功能复印机</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1.输出速度：打印和复印速度≥50页/分钟；文印输出：配备双面器，支持全自动双面复印、打印、彩色扫描；幅面：标配支持B6至A3幅面；处理器：≥1.46GHz高速处理器；内存：≥2GB SOP内存+2GB复印机内存；硬盘：≥320GB。</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2.操作屏幕：≥9英寸彩色全触摸屏，支持复印、扫描界面，方便用户日常使用；拓展端口：USB插口；纸张容量：标配供纸量1200页，标配信封供纸盘；纸张重量：可支持52-300g/m厚纸。</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3.打印：分辨率≥1,200x1,200dpi；支持U盘打印功能；支持铜版纸等多种纸张类型；复印：25-400%变焦比率；扫描：扫描速度≥80页/分钟。</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22</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专业会议话筒</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1.全金属方柱形话筒，俯仰角度可调；超心型指向性，具备抗手机干扰功能；灵敏度≥-38 dBV/Pa；频率响应不劣于80 Hz~16 kHz；声压级≥120 dB, THD&lt;3%； LED开启指示。</w:t>
            </w:r>
            <w:r/>
          </w:p>
          <w:p>
            <w:pPr>
              <w:rPr>
                <w:rFonts w:ascii="Times New Roman" w:hAnsi="Times New Roman" w:cs="宋体"/>
                <w:szCs w:val="11"/>
              </w:rPr>
            </w:pPr>
            <w:r>
              <w:rPr>
                <w:rFonts w:hint="eastAsia" w:ascii="Times New Roman" w:hAnsi="Times New Roman" w:cs="宋体"/>
                <w:szCs w:val="11"/>
              </w:rPr>
              <w:t xml:space="preserve">▲2.带拨码开关，可实现低切、LED 灯圈状态和话筒面板按键功能等的设置。</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22</w:t>
            </w:r>
            <w:r/>
          </w:p>
        </w:tc>
      </w:tr>
      <w:tr>
        <w:trPr/>
        <w:tc>
          <w:tcPr>
            <w:tcW w:w="704" w:type="dxa"/>
            <w:vAlign w:val="center"/>
            <w:textDirection w:val="lrTb"/>
            <w:noWrap w:val="false"/>
          </w:tcPr>
          <w:p>
            <w:pPr>
              <w:jc w:val="center"/>
              <w:rPr>
                <w:rFonts w:ascii="Times New Roman" w:hAnsi="Times New Roman" w:cs="宋体"/>
                <w:szCs w:val="11"/>
              </w:rPr>
            </w:pPr>
            <w:r>
              <w:t xml:space="preserve">23</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话筒处理器</w:t>
            </w:r>
            <w:r/>
          </w:p>
        </w:tc>
        <w:tc>
          <w:tcPr>
            <w:tcW w:w="5245" w:type="dxa"/>
            <w:vAlign w:val="center"/>
            <w:textDirection w:val="lrTb"/>
            <w:noWrap w:val="false"/>
          </w:tcPr>
          <w:p>
            <w:pPr>
              <w:rPr>
                <w:rFonts w:ascii="Times New Roman" w:hAnsi="Times New Roman" w:cs="宋体"/>
                <w:b/>
                <w:bCs/>
                <w:szCs w:val="11"/>
              </w:rPr>
            </w:pPr>
            <w:r>
              <w:rPr>
                <w:rFonts w:hint="eastAsia" w:ascii="Times New Roman" w:hAnsi="Times New Roman" w:cs="宋体"/>
                <w:b/>
                <w:bCs/>
                <w:szCs w:val="11"/>
              </w:rPr>
              <w:t xml:space="preserve">▲1.自定义的图形化中文用户界面，拖拽式控制模块，实现多设备同平台下的增益调节、静音、场景调用、矩阵切换、状态监测等功能（提供相关证明材料）。</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2.支持通过APP软件进行操作控制，面板具备USB 接口，支持多媒体存储，可进行播放或存储录播。</w:t>
            </w:r>
            <w:r/>
          </w:p>
          <w:p>
            <w:pPr>
              <w:rPr>
                <w:rFonts w:ascii="Times New Roman" w:hAnsi="Times New Roman" w:cs="宋体"/>
                <w:szCs w:val="11"/>
              </w:rPr>
            </w:pPr>
            <w:r>
              <w:rPr>
                <w:rFonts w:hint="eastAsia" w:ascii="Times New Roman" w:hAnsi="Times New Roman" w:cs="宋体"/>
                <w:szCs w:val="11"/>
              </w:rPr>
              <w:t xml:space="preserve">▲3.内置DSP模块，处理模块为可配置式，根据需求自由更换；具备主机一对一热备份，当主机出现故障时，备机能够立即接管并继续提供服务，确保系统的持续可用性。</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8路话筒/线路电平输入，≥8路线路电平输出；≥2路可配置USB音频通道，用于远程视频会议的回声消除；具备RS-232、RS-485串行端口，可用于控制外部设备或被外部设备控制；支持断电自动保护记忆功能，管理控制软件可工作在XP/Windows7、8、10、国产操作系统等系统环境下运行；具备用户PIN码机制，防止其他人员误连设备进行操作；每个输入通道≥12段PEQ，且提供≥5种滤波器类型选择。</w:t>
            </w:r>
            <w:r/>
          </w:p>
          <w:p>
            <w:pPr>
              <w:rPr>
                <w:rFonts w:ascii="Times New Roman" w:hAnsi="Times New Roman" w:cs="宋体"/>
                <w:szCs w:val="11"/>
              </w:rPr>
            </w:pPr>
            <w:r>
              <w:rPr>
                <w:rFonts w:hint="eastAsia" w:ascii="Times New Roman" w:hAnsi="Times New Roman" w:cs="宋体"/>
                <w:szCs w:val="11"/>
              </w:rPr>
              <w:t xml:space="preserve">▲5.每个输入通道应具有≥16个点的AFC自适应反馈抑制。</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6.输入通道支持前级放大、信号发生器、扩展器、压缩器、 ≥12段参量均衡，≥31段图示均衡、闪避器、AGC自动增益、AM自动混音功能（门限式、增益共享式）、AFC自适应反馈消除、AEC回声消除、ANC噪声消除、音频矩阵。</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7.输出通道支持≥12段参量均衡， ≥31段图示均衡、延时器、分频器、高低通滤波器、限幅器；具备≥8路逻辑控制通道且可独立配置输入输出，如中控、消防联动、本机场景调用、系统静音、模拟电位器控制本机通道的数字增益；频率响应范围：低频≤20Hz，高频≥20kHz(±0.5dB)；THD+N:&lt;-95dB @17dBu；动态范围：≥113dB；采样率：≥48kHz。</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3</w:t>
            </w:r>
            <w:r/>
          </w:p>
        </w:tc>
      </w:tr>
      <w:tr>
        <w:trPr/>
        <w:tc>
          <w:tcPr>
            <w:tcW w:w="704" w:type="dxa"/>
            <w:vAlign w:val="center"/>
            <w:textDirection w:val="lrTb"/>
            <w:noWrap w:val="false"/>
          </w:tcPr>
          <w:p>
            <w:pPr>
              <w:jc w:val="center"/>
              <w:rPr>
                <w:rFonts w:ascii="Times New Roman" w:hAnsi="Times New Roman" w:cs="宋体"/>
                <w:szCs w:val="11"/>
              </w:rPr>
            </w:pPr>
            <w:r>
              <w:t xml:space="preserve">24</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演讲会议麦克风</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1.指向特性 双极头阵列式超心型指向；阵列式2只镀金膜咪芯；蜂窝式方管；话筒角度：可调；带Led灯光照明；频率响应：不劣于50Hz-18KHz；灵敏度：不劣于-33.55dB；电源供应：DC 48V 幻象电源；底座材质：金属材质；具有信号指示灯。</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25</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调音台</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  2组立体声输入（XLR接口），1组立体声RCA输入，1组返回输入（2路 6.35接口）1路USB输入；12路插入点（6.35接口）；两组立体声输出，4路编组输出，3路辅助输出，1路立体声监听输出，1路立体声耳机输出，1组立体声录音输出；效果可以发送至辅助输出，编组输出与立体声输出；多媒体输入可以发送至辅助输出、编组输出与立体声输出；每路单通道带低切、压限功能；不少于两路输入具有反馈抑制功能（移频频率≥3Hz）。</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2.≥1.7英寸多媒体显示屏，内置多媒体播放器、USB声卡，支持蓝牙接收，可直接播放WMA、MP3双格式音乐，录音功能；内置99种DSP效果器；每路单通道三段均衡，中频带参量EQ；主输出7段图示均衡器。</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3.支持通道监听；频率响应：20Hz～20kHz（±1dB）；总谐波失真：≤0.05%@0dBu，1kHz；等效输入噪声≥122dB；话筒增益＞70dB；线路增益＞58dB；最大输入电平≥18dBu；最大输出电平≥16dBu；串音：＞60dB。</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26</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数字音频处理器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1.不少于16x16通道的全混音矩阵；不少于8路平衡输入、8路平衡输出、32位DSP芯片处理，96kHz采样率，24bit  AD/DA转换；带有+48V幻象电源。</w:t>
            </w:r>
            <w:r/>
          </w:p>
          <w:p>
            <w:pPr>
              <w:rPr>
                <w:rFonts w:ascii="Times New Roman" w:hAnsi="Times New Roman" w:cs="宋体"/>
                <w:szCs w:val="11"/>
              </w:rPr>
            </w:pPr>
            <w:r>
              <w:rPr>
                <w:rFonts w:hint="eastAsia" w:ascii="Times New Roman" w:hAnsi="Times New Roman" w:cs="宋体"/>
                <w:szCs w:val="11"/>
              </w:rPr>
              <w:t xml:space="preserve">▲2.PEQ增益、带宽、频率连续可调，内置AEC远程声学回声消除模块。</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27</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数字音频处理软件</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具备先进用户操作界面，通过软件可调节会场音频、切换多种模式，具备通信协议TCP/IP、RS232/485接口，可扩展实现系统控制逻辑功能；控制所有输入通道的音量，以及所有输入通道的电平显示；输入MIC和LINE模式的切换，MIC的增益独立可调，幻像电源48V控制，以及每个通道的相位和静音参数；所有参量均衡的增益、Q值、频率、类型可以调整，以及旁路按键选择。</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套</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28</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12寸主扩全频音箱（含音箱架）</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1.2单元2分频全频音箱系统；不小于1.7″高频驱动器，不小于12″低频驱动器；额定功率≥450W；标称阻抗：8Ω；灵敏度≥97dB；最大声压级≥124dB；指向特性（-6dB）：90°H×70°V；频率范围不劣于58Hz~20KHz（-6dB）。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29</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12寸主扩全频音箱功放</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1.立体声模式（双信道同时驱动）：≥650W*2(8Ω)，950W*2(4Ω)；总谐波失真：&lt;0.025%@8Ω 1KHz。信噪比：&gt;110dB；输入灵敏度：0.775V/1.44V；输入阻抗：20K/10K；阻尼系数：&gt;300@8Ω；频率响应不劣于20Hz~20 kHz，+0/-0.5dB 1W/8Ω；转换速率：&gt;30 V/us；输入灵敏度调节及输入模式选择；保护功能：高温保护、直流保护、短路保护、软启动保护、过载保护。</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30</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10寸辅助音箱（含音箱架）</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1.2单元2分频倒相式；不小于1.5″高频驱动器，不小于10″低频驱动器；额定功率≥350W；标称阻抗：8Ω；灵敏度≥97dB；最大声压级≥122dB；指向特性（-6dB）：90°H×70°V；频率范围不劣于65Hz~20KHz（-6dB）。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8</w:t>
            </w:r>
            <w:r/>
          </w:p>
        </w:tc>
      </w:tr>
      <w:tr>
        <w:trPr/>
        <w:tc>
          <w:tcPr>
            <w:tcW w:w="704" w:type="dxa"/>
            <w:vAlign w:val="center"/>
            <w:textDirection w:val="lrTb"/>
            <w:noWrap w:val="false"/>
          </w:tcPr>
          <w:p>
            <w:pPr>
              <w:jc w:val="center"/>
              <w:rPr>
                <w:rFonts w:ascii="Times New Roman" w:hAnsi="Times New Roman" w:cs="宋体"/>
                <w:szCs w:val="11"/>
              </w:rPr>
            </w:pPr>
            <w:r>
              <w:t xml:space="preserve">31</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10寸辅助音箱功放</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1.立体声模式（双信道同时驱动）：500W（8Ω），750W（4Ω）；总谐波失真：&lt;0.025%@8Ω 1KHz；信噪比：&gt;110dB；输入灵敏度：0.775V/1.44V； 输入阻抗：20K/10K；阻尼系数：&gt;300@8Ω；频率响应不劣于20Hz~20 kHz，+0/-0.5dB 1W/8Ω；转换速率：&gt;30 V/us；输入灵敏度调节及输入模式选择；保护功能：高温保护,直流保护,短路保护，软启动保护，过载保护。</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32</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流动返听音箱</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1.2单元2分频倒相式；不小于1.5″高频驱动器，不小于10″低频驱动器；额定功率≥350W；标称阻抗：8Ω；灵敏度≥97dB；最大声压级≥122dB；指向特性（-6dB）：90°H×70°V；频率范围不劣于65Hz~20KHz（-6dB）。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33</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流动返听音箱功放</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1.立体声模式（双信道同时驱动）：500W（8Ω），750W（4Ω）；总谐波失真：&lt;0.025%@8Ω 1KHz；信噪比：&gt;110dB；输入灵敏度：0.775V/1.44V；输入阻抗：20K/10K；阻尼系数：&gt;300@8Ω；频率响应不劣于20Hz~20 kHz，+0/-0.5dB 1W/8Ω；转换速率：&gt;30 V/us；输入灵敏度调节及输入模式选择；保护功能：高温保护,直流保护,短路保护，软启动保护，过载保护。</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34</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有源监听音箱</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1.双功放5.25寸低音喇叭60W，1英寸丝膜球顶高音单元；XLR、RCA和TRS输入；音量旋钮可控制音箱音量；频率响应：60Hz—20kHz。</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对</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35</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均衡器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双声道同步控制31段EQ均衡；实时31段频点跳跃，频谱精准度99%；带尖端的噪声门降噪功能，实现消除系统中噪声；EQ旁通功能；输出通道可调延迟，且输出音频低切可调；带保存及调用预设功能，可保存10种模式进行调用；传声增益不小于:-1dB或11dB；信噪比不小于:82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36</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无线腰包话筒</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1.RJ45接口连接互联网，通过TCP/IP协议可对接到物联网平台，进行多频段设备集中控制、状态显示、设备名称自定义、无干扰频率一键部署等；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无线传声器管理软件适配windows、安卓、鸿蒙等常用系统；将频谱测试与无线传输系统高效结合和互动，图形化实时监测当前环境射频详情，并自动筛选不受干扰的频点，实现无线系统的稳定运行；使用EIA标准金属机箱，采用天线分集式接收线路、CPU控制选讯+导频识别功能，理想使用距离可达80米以上；频率调节采用无互调干扰群组预设、用户自定义调节等方式，单机≥2000个频率可供客户调节。</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3.≥4.6寸LCD显示器可实时显示群组、频率、电池电量、静音位准、电子音量等信息；各通道支持SQ(降噪)六档独立调节；接收机内置开关电源，由AC 220V市电直接供电，并支持电源环出功能；接收机天线座提供偏置电压，可连接有源对数周期天线提升接收距离和信号质量；并支持射频级联功能，无需天线分配器即可实现≤8套叠机使用。</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具有3个XLR平衡输出、4个天线端口、1个RJ45网口，MIC/LINE输出切换开关；音频频率响应（线路）：40Hz-18KHz、总谐波失真（THD+N）:≤0、5%(10mV@1kHz)、延迟：≤5ms（典型值）、最大频偏：±45KHz、最大输出电平：≥+10dBV、动态范围：≥100dBA、最大声压级：≥134dB spl；发射器采用电容式拾音头、指向性：全向、载波功率：两档可调、连续工作时间：约8小时（发射器为高功率）。</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套</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3</w:t>
            </w:r>
            <w:r/>
          </w:p>
        </w:tc>
      </w:tr>
      <w:tr>
        <w:trPr/>
        <w:tc>
          <w:tcPr>
            <w:tcW w:w="704" w:type="dxa"/>
            <w:vAlign w:val="center"/>
            <w:textDirection w:val="lrTb"/>
            <w:noWrap w:val="false"/>
          </w:tcPr>
          <w:p>
            <w:pPr>
              <w:jc w:val="center"/>
              <w:rPr>
                <w:rFonts w:ascii="Times New Roman" w:hAnsi="Times New Roman" w:cs="宋体"/>
                <w:szCs w:val="11"/>
              </w:rPr>
            </w:pPr>
            <w:r>
              <w:t xml:space="preserve">37</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无线手持式话筒</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1.RJ45接口连接互联网，通过TCP/IP协议可对接到物联网平台，进行多频段设</w:t>
            </w:r>
            <w:r>
              <w:rPr>
                <w:rFonts w:hint="eastAsia" w:ascii="Times New Roman" w:hAnsi="Times New Roman" w:cs="宋体"/>
                <w:szCs w:val="11"/>
              </w:rPr>
              <w:t xml:space="preserve">备集中控制、状态显示、设备名称自定义、无干扰频率一键部署等；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无线传声器管理软件适配windows、安卓、鸿蒙等常用系统；将频谱测试与无线传输系统高效结合和互动，图形化实时监测当前环境射频详情，并自动筛选不受干扰的频点，实现无线系统的稳定运行。</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使用EIA标准金属机箱，采用天线分集式接收线路、CPU控制选讯+导频识别功能，理想使用距离可达80米以上；频率调节采用无互调干扰群组预设、用户自定义调节等方式，单机≥2000个频率可供客户调节；≥4.6寸LCD显示器可实时显示群组、频率、电池电量、静音位准、电子音量等信息；各通道支持SQ(降噪)六档独立调节。</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3.接收机内置开关电源，由AC 220V市电直接供电，并支持电源环出功能；接收机天线座提供偏置电压，可连接有源对数周期天线提升接收距离和信号质量；并支持射频级联功能，无需天线分配器即可实现≤8套叠机使用；具有3个XLR平衡输出、4个天线端口、1个RJ45网口，MIC/LINE输出切换开关。</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4.音频频率响应（线路）：40Hz-18KHz、总谐波失真（THD+N）:≤0、5%(10mV@1kHz)、延迟：≤5ms（典型值）、最大频偏：±45KHz、最大输出电平：≥+10dBV、动态范围：≥100dBA、最大声压级：≥134dB spl；发射器采用电容式拾音头、指向性：全向、载波功率：两档可调、连续工作时间：约8小时（发射器为高功率）。</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套</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5</w:t>
            </w:r>
            <w:r/>
          </w:p>
        </w:tc>
      </w:tr>
      <w:tr>
        <w:trPr/>
        <w:tc>
          <w:tcPr>
            <w:tcW w:w="704" w:type="dxa"/>
            <w:vAlign w:val="center"/>
            <w:textDirection w:val="lrTb"/>
            <w:noWrap w:val="false"/>
          </w:tcPr>
          <w:p>
            <w:pPr>
              <w:jc w:val="center"/>
              <w:rPr>
                <w:rFonts w:ascii="Times New Roman" w:hAnsi="Times New Roman" w:cs="宋体"/>
                <w:szCs w:val="11"/>
              </w:rPr>
            </w:pPr>
            <w:r>
              <w:t xml:space="preserve">38</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天线分配器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1.有源天线分配器，支持4路DC 12V电源输出，并具备2个天线级联接口；射频波段下限≤410MHz，上限≥950MHz；阻抗50Ω；具备信号增益可调，调节下限≤2.5dbm，上限≥12dbm；不少于10个射频端口。</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39</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天线放大器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1.射频波段下限≤450MHz，上限≥950MHz；阻抗50Ω；指向特性：90°±3°H×60°±2°V。</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对</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40</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电源时序器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1.通道数量：≥8路；每个通道的最大输出电流≥15A；交流电输入：180V~260V；标准负载功率≥2200W/通道；每步时间：≤1s。</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9</w:t>
            </w:r>
            <w:r/>
          </w:p>
        </w:tc>
      </w:tr>
      <w:tr>
        <w:trPr/>
        <w:tc>
          <w:tcPr>
            <w:tcW w:w="704" w:type="dxa"/>
            <w:vAlign w:val="center"/>
            <w:textDirection w:val="lrTb"/>
            <w:noWrap w:val="false"/>
          </w:tcPr>
          <w:p>
            <w:pPr>
              <w:jc w:val="center"/>
              <w:rPr>
                <w:rFonts w:ascii="Times New Roman" w:hAnsi="Times New Roman" w:cs="宋体"/>
                <w:szCs w:val="11"/>
              </w:rPr>
            </w:pPr>
            <w:r>
              <w:t xml:space="preserve">41</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智能音视频一体机</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1.集音频处理、视频切换、功放于一体；不少于10路输入8路输出全混音矩阵，48kHz采样率，24 bit AD/DA转换不少于8路Mic/Line输入，支持+48V幻象电源，话筒和线性输入增益可切换，话筒的输入灵敏度可调；不少于2组RCA立体声输入，不少于4路Line输出；不少于4路 D类数字功放输出，输出功率≥400W×4；不少于2路HDMI输入、1路HDMI输出，分辨率支持4K/60Hz，4K/30Hz，3D 1080P。</w:t>
            </w:r>
            <w:r/>
          </w:p>
          <w:p>
            <w:pPr>
              <w:rPr>
                <w:rFonts w:hint="eastAsia" w:ascii="Times New Roman" w:hAnsi="Times New Roman" w:cs="宋体"/>
                <w:szCs w:val="11"/>
                <w:lang w:val="en-US" w:eastAsia="zh-CN"/>
              </w:rPr>
            </w:pPr>
            <w:r>
              <w:rPr>
                <w:rFonts w:hint="eastAsia" w:ascii="Times New Roman" w:hAnsi="Times New Roman" w:cs="宋体"/>
                <w:bCs/>
                <w:iCs/>
                <w:szCs w:val="15"/>
              </w:rPr>
              <w:t xml:space="preserve">○</w:t>
            </w:r>
            <w:r>
              <w:rPr>
                <w:rFonts w:hint="eastAsia" w:ascii="Times New Roman" w:hAnsi="Times New Roman" w:cs="宋体"/>
                <w:szCs w:val="11"/>
              </w:rPr>
              <w:t xml:space="preserve">2.可支持ARC面板直接控制管理；支持RS232/网口控制代码协议，可通过第三方中控控制；输入通道处理部分包含低切、参量均衡、噪声门、增益、静音、相位、连动调节、音量编组调节等处理功能；输出通道处理部分包含分频、参量均衡、增益、静音、压缩/限幅器、相位、延时、连动调节、音量编组调节等处理单元</w:t>
            </w:r>
            <w:r>
              <w:rPr>
                <w:rFonts w:hint="eastAsia" w:ascii="Times New Roman" w:hAnsi="Times New Roman" w:cs="宋体"/>
                <w:szCs w:val="11"/>
                <w:lang w:val="en-US" w:eastAsia="zh-CN"/>
              </w:rPr>
              <w:t xml:space="preserve">。</w:t>
            </w:r>
            <w:r/>
          </w:p>
          <w:p>
            <w:pPr>
              <w:rPr>
                <w:rFonts w:ascii="Times New Roman" w:hAnsi="Times New Roman" w:cs="宋体"/>
                <w:szCs w:val="11"/>
              </w:rPr>
            </w:pPr>
            <w:r>
              <w:rPr>
                <w:rFonts w:hint="eastAsia" w:ascii="Times New Roman" w:hAnsi="Times New Roman" w:cs="宋体"/>
                <w:bCs/>
                <w:iCs/>
                <w:szCs w:val="18"/>
              </w:rPr>
              <w:t xml:space="preserve">○</w:t>
            </w:r>
            <w:r>
              <w:rPr>
                <w:rFonts w:hint="eastAsia" w:ascii="Times New Roman" w:hAnsi="Times New Roman" w:cs="宋体"/>
                <w:szCs w:val="15"/>
                <w:lang w:val="en-US" w:eastAsia="zh-CN"/>
              </w:rPr>
              <w:t xml:space="preserve">3</w:t>
            </w:r>
            <w:r>
              <w:rPr>
                <w:rFonts w:hint="eastAsia" w:ascii="Times New Roman" w:hAnsi="Times New Roman" w:cs="宋体"/>
                <w:szCs w:val="15"/>
              </w:rPr>
              <w:t xml:space="preserve">.</w:t>
            </w:r>
            <w:r>
              <w:rPr>
                <w:rFonts w:hint="eastAsia" w:ascii="Times New Roman" w:hAnsi="Times New Roman" w:cs="宋体"/>
                <w:szCs w:val="11"/>
              </w:rPr>
              <w:t xml:space="preserve">所有通道的PEQ增益、带宽、频率连续可调，类型可选择: 参量均衡、低架滤波、高架滤波、低切滤波、高切滤波、1阶移相、2阶移相；立体声音乐输入通道具备独立的效果处理模块：低音增强、3D效果、激励器、立体声空间扩展等；内置测试信号发生器，信号幅度可调；不少于20个用户预设存储。</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cs="宋体"/>
                <w:szCs w:val="11"/>
              </w:rPr>
            </w:pPr>
            <w:r>
              <w:t xml:space="preserve">42</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AI智能自动增益器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可兼容多种应用方式，如电容麦+混音器、手拉手会议话筒、电容麦+调音器；2.相同拾音距离，扩声系统有效声压提升至少10dB；即插即用，免调试；采样率：48K；频率响应：20HZ-20kHz；通道噪声：&lt;-90dBu；动态范围：99dBu。</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3</w:t>
            </w:r>
            <w:r/>
          </w:p>
        </w:tc>
      </w:tr>
      <w:tr>
        <w:trPr/>
        <w:tc>
          <w:tcPr>
            <w:tcW w:w="704" w:type="dxa"/>
            <w:vAlign w:val="center"/>
            <w:textDirection w:val="lrTb"/>
            <w:noWrap w:val="false"/>
          </w:tcPr>
          <w:p>
            <w:pPr>
              <w:jc w:val="center"/>
              <w:rPr>
                <w:rFonts w:ascii="Times New Roman" w:hAnsi="Times New Roman" w:cs="宋体"/>
                <w:szCs w:val="11"/>
              </w:rPr>
            </w:pPr>
            <w:r>
              <w:t xml:space="preserve">43</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音柱音箱（含壁挂架</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1.4单元3分频倒相式；钕磁中频、低频驱动器不小于6.5″×3，钕磁高频驱动器不小于1.4″×1；灵敏度≥98dB；额定功率≥250W；频率范围（-6 dB）不劣于80Hz—20KHz；最大声压级≥ 122dB；标称指向性（-6dB）：H100°×V40°。</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44</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吸顶音箱</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1.紧凑型，两分频；低频单元 ≥165mm 6.5"单元；高音单元≥ 25mm 1"单元，同轴旋转丝膜高音单元；频率响应≥56 Hz - 20 kHz；标称阻抗 8Ω；峰值功率 ≥200W；RMS实际功率 ≥60 W （100小时IEC）；灵敏度 ≥90 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8</w:t>
            </w:r>
            <w:r/>
          </w:p>
        </w:tc>
      </w:tr>
      <w:tr>
        <w:trPr/>
        <w:tc>
          <w:tcPr>
            <w:tcW w:w="704" w:type="dxa"/>
            <w:vAlign w:val="center"/>
            <w:textDirection w:val="lrTb"/>
            <w:noWrap w:val="false"/>
          </w:tcPr>
          <w:p>
            <w:pPr>
              <w:jc w:val="center"/>
              <w:rPr>
                <w:rFonts w:ascii="Times New Roman" w:hAnsi="Times New Roman" w:cs="宋体"/>
                <w:szCs w:val="11"/>
              </w:rPr>
            </w:pPr>
            <w:r>
              <w:t xml:space="preserve">45</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智能音频主机</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▲1.为了满足学校教室内前后排声场均衡和频率均衡，需要对教学空间的声场环境进行智能分析，要求主机软件至少可支持麦克风60段频谱实时显示分析功能。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2.主机具有不少于6路麦克风输入、3路音频线路输入、4路音频线路输出。</w:t>
            </w:r>
            <w:r/>
          </w:p>
          <w:p>
            <w:pPr>
              <w:rPr>
                <w:rFonts w:ascii="Times New Roman" w:hAnsi="Times New Roman" w:cs="宋体"/>
                <w:szCs w:val="11"/>
              </w:rPr>
            </w:pPr>
            <w:r>
              <w:rPr>
                <w:rFonts w:hint="eastAsia" w:ascii="Times New Roman" w:hAnsi="Times New Roman" w:cs="宋体"/>
                <w:szCs w:val="11"/>
              </w:rPr>
              <w:t xml:space="preserve">▲3.主机软件带8入6出音频矩阵功能，每路输入通道带扩展器、自动增益、参数均衡模块，每路输出通道带高低通、参数均衡、限幅器模块功能；主机可根据需要增配内置双模数字无线接收功能，供校方自主选择使用；多功能无线麦克风具有激光笔、无线PPT翻页、无线话筒功能；要求无线话筒使用UHF传输技术；可软件设置无线麦克风优先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为了满足校方多输入信号需求人性化设置，方便设置无线麦信号优先或IP广播信号优先等，要求主机软件带有不低于4级优先级别闪避器功能，可以针对音频信号分类进行闪避设置，每个级别闪避器设置内容包含阈值、衰减增益、启动和释放及保持时间等。</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5.音频处理器和数字功率放大器一体式设计,高度≥1U，纯嵌入式设计；主机前面板具有功能按键和吊麦音量旋钮、音乐音量旋钮等；信噪比SINR-J（A计权）：≥97dB，功率放大器的额定输出功率≥2*150W（3.2Ω），频率响应（Frequency Response）：20Hz-20kHZ（±3dB），总谐波失真：≤0.1%，增益差：≤0.2dB。</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6.反馈抑制（AFC）：传声增益提升幅度：≥15dB；自适应背景降噪（ANS）：信噪比提升≥20dB；自动增益控制（AGC）：增益控制幅度：-12dB - +12dB；回声消除强度(AEC)：≥-60dB；回音消除尾音长度：≥512ms。</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46</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主扩全频音箱（含音箱壁挂架）</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 2单元2分频倒相式；不小于8″低频驱动器，不小于1.5″高频驱动器；额定功率≥250W；标称阻抗：8Ω；灵敏度≥97dB；最大声压级≥121dB；指向特性（-6dB）：100°H×60°V；频率范围不劣于80Hz~20KHz（-6dB）。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47</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主扩全频音箱功放</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1.立体声功放≥: 400W×2（8Ω），600W×2（4Ω），700W×2（2Ω），桥接模式：1000W（1x8Ω），1200W（1x4Ω）；总谐波失真：&lt;0.5dB；频率响应不劣于20Hz to 20kHz,+/-1dB；输入阻抗：20K/10K；输入灵敏度：32dB、1.0V、0.775V；信噪比：&gt;95dB（20Hz-20KHz）；转换速率：&gt;30V/us；阻尼系数：&gt;500；输出级：Class D；输出阻抗：≥2Ω；保护功能：软启动、直流、短路、削波、失真、过热、过温等。</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48</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辅助全频音箱（含音箱壁挂架）</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  2单元2分频倒相式；不小于8″低频驱动器，不小于1.5″高频驱动器；额定功率≥250W；标称阻抗：8Ω；灵敏度≥97dB；最大声压级≥121dB；指向特性（-6dB）：100°H×60°V；频率范围不劣于80Hz~20KHz（-6dB）。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49</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辅助全频音箱功放</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1.立体声功放≥: 400W×2（8Ω），600W×2（4Ω），700W×2（2Ω），桥接模式：1000W（1x8Ω），1200W（1x4Ω）；总谐波失真：&lt;0.5dB；频率响应不劣于20Hz to 20kHz,+/-1dB；输入阻抗：20K/10K；输入灵敏度：32dB、1.0V、0.775V；信噪比：&gt;95dB（20Hz-20KHz）转换速率：&gt;30V/us；阻尼系数：&gt;500；输出级：Class D；输出阻抗：≥2Ω；保护功能：软启动、直流、短路、削波、失真、过热、过温等。</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cs="宋体"/>
                <w:szCs w:val="11"/>
              </w:rPr>
            </w:pPr>
            <w:r>
              <w:t xml:space="preserve">50</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返听音箱（含音箱壁挂架）</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  2单元2分频倒相式；不小于8″低频驱动器，不小于1.5″高频驱动器；额定功率≥250W标称阻抗：8Ω；灵敏度≥97dB；最大声压级≥121dB；指向特性（-6dB）：100°H×60°V；频率范围不劣于80Hz~20KHz（-6dB）。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只</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cs="宋体"/>
                <w:szCs w:val="11"/>
              </w:rPr>
            </w:pPr>
            <w:r>
              <w:t xml:space="preserve">51</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返听音箱功放</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1.立体声功放≥: 400W×2（8Ω），600W×2（4Ω），700W×2（2Ω），桥接模式：1000W（1x8Ω），1200W（1x4Ω）；总谐波失真：&lt;0.5dB；频率响应不劣于20Hz to 20kHz,+/-1dB；输入阻抗：20K/10K；输入灵敏度：32dB、1.0V、0.775V；信噪比：&gt;95dB（20Hz-20KHz）；转换速率：&gt;30V/us；阻尼系数：&gt;500；输出级：Class D；输出阻抗：≥2Ω；保护功能：软启动、直流、短路、削波、失真、过热、过温等。</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szCs w:val="20"/>
              </w:rPr>
            </w:pPr>
            <w:r>
              <w:t xml:space="preserve">52</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LED全彩屏（图书馆一层报告厅及二层）</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（一）LED屏体（2块8m*4.48m大屏，共71.68㎡）：</w:t>
            </w:r>
            <w:r/>
          </w:p>
          <w:p>
            <w:pPr>
              <w:rPr>
                <w:rFonts w:ascii="Times New Roman" w:hAnsi="Times New Roman" w:cs="宋体"/>
                <w:szCs w:val="11"/>
              </w:rPr>
            </w:pPr>
            <w:r>
              <w:rPr>
                <w:rFonts w:hint="eastAsia" w:ascii="Times New Roman" w:hAnsi="Times New Roman" w:cs="宋体"/>
                <w:szCs w:val="11"/>
              </w:rPr>
              <w:t xml:space="preserve">★1.像素点间距：≤1.86mm；采用表贴三合一纯黑灯技术，像素密度：≥288000点/㎡。</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2.可</w:t>
            </w:r>
            <w:r>
              <w:rPr>
                <w:rFonts w:hint="eastAsia" w:ascii="Times New Roman" w:hAnsi="Times New Roman" w:cs="宋体"/>
                <w:szCs w:val="11"/>
              </w:rPr>
              <w:t xml:space="preserve">视距离1.2-100米；平整度：≤0.05mm；模组供电：安全电压供电；峰值功率：≤400W/m²；平均功率：≤120W/m²；模组机械强度≥5MP；水平视角：≥170°；垂直视角：≥170°；校正后白平衡亮度：≥800nits,0-100%任意可调；色温：1000K-18000K连续可调，可设冷色、暖色、标准等多种白场调节；色域：≥120%NTSC；发光点中心距偏差：&lt;0.9%；亮度均匀性：≥98.7%色度均匀性：校正后：±0.001 Cx,Cy之内；对比度：≥8000:1；像素失控率：≤0.00001。</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蓝光安全：蓝光对皮肤和眼睛紫外线危害、宽波段的光源对视网膜危害、蓝光对皮肤表面及角膜和视网膜的曝辐射值检测，无危害；抗UV紫外线：符合5级；盐雾测试:符合盐雾10级要求；典型寿命值（hrs）:≥10万小时；平均无故障时间(MTBF):≥10万小时；驱动方式：采用高刷恒流驱动芯片，具有支持亮度调节功能；动态扫描，同步控制，点点对应。</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提升画面能力：提升画面暗部表现能力，解决鬼影、低灰白平衡色偏、低灰不均、第一行扫偏暗、渐变暗线、去除LED坏点十字架、高对比干忧等特点；图像增强与调整处理功能：支持对图像清晰度、饱和度、色度调节、对比度、亮度进行综合式一键视觉修正，具备降噪、增强、运动补偿、无鬼影拖尾、无毛毛虫、鬼影跟随现象色坐标色彩变换处理、钝化处理功能，支持HDR高动态范围图像技术显示；校正数据回读：校正数据存储在模组里，更换模组可自动回读校正数据。</w:t>
            </w:r>
            <w:r/>
          </w:p>
          <w:p>
            <w:pPr>
              <w:rPr>
                <w:rFonts w:ascii="Times New Roman" w:hAnsi="Times New Roman" w:cs="宋体"/>
                <w:szCs w:val="11"/>
              </w:rPr>
            </w:pPr>
            <w:r>
              <w:rPr>
                <w:rFonts w:hint="eastAsia" w:ascii="Times New Roman" w:hAnsi="Times New Roman" w:cs="宋体"/>
                <w:szCs w:val="11"/>
              </w:rPr>
              <w:t xml:space="preserve">（二）大屏解析卡（12张）：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广播型总线数据传输方式，无帧存，实时传输，延时小；1路标准HDMI视频接口输入，最大输入分辨率为2080×1040，可自定义EDID;1xUSB、2xRS485、蓝牙，多方式和PC通信，设置参数、调节亮度、色温、对比度等，并能在PC端实时查看控制卡的连接和工作状态；支持多个解析卡进行级联拼接，可通过PC端软件进行统一控制。</w:t>
            </w:r>
            <w:r/>
          </w:p>
          <w:p>
            <w:pPr>
              <w:rPr>
                <w:rFonts w:ascii="Times New Roman" w:hAnsi="Times New Roman" w:cs="宋体"/>
                <w:szCs w:val="11"/>
              </w:rPr>
            </w:pPr>
            <w:r>
              <w:rPr>
                <w:rFonts w:hint="eastAsia" w:ascii="Times New Roman" w:hAnsi="Times New Roman" w:cs="宋体"/>
                <w:szCs w:val="11"/>
              </w:rPr>
              <w:t xml:space="preserve">（三）大屏控制卡（106张）：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1.无需转接板，单卡自带16个HUB75单卡带载像素512*512，16 P接口；支持各种PWM芯片、双锁存芯片、通用芯片；支持静态屏、1/2～1/64扫之间的任意扫描类型；支持逐点亮色度校正，可以对每个灯点的亮度和色度进行校正，有效消除色差，使整屏的亮度和色度达到高度均匀一致，提高显示屏的画质。</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2.标准化接口设计，控制卡采用标准HDMI2.0线缆连接，数据线缆采用高可靠的带屏蔽数据线，接头金属包围式，不采用RJ45弹片式接触数据线。</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3.RGB独立Gamma调节技术增加调节维度，通过对“红 Gamma”、“绿 Gamma”、“蓝 Gamma”分别进行调节，有效控制显示屏低灰不均匀、白平衡漂移等问题，使画面更加真实，提高色彩调节的灵活性；LED屏幕刷新频率需达到：3840Hz+，同时灰度处理能力（灰阶）需达到16bit以上。</w:t>
            </w:r>
            <w:r/>
          </w:p>
          <w:p>
            <w:pPr>
              <w:rPr>
                <w:rFonts w:ascii="Times New Roman" w:hAnsi="Times New Roman" w:cs="宋体"/>
                <w:szCs w:val="11"/>
              </w:rPr>
            </w:pPr>
            <w:r>
              <w:rPr>
                <w:rFonts w:hint="eastAsia" w:ascii="Times New Roman" w:hAnsi="Times New Roman" w:cs="宋体"/>
                <w:szCs w:val="11"/>
              </w:rPr>
              <w:t xml:space="preserve">（四）视频拼接处理器（2台）：</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1.支持不少于8路高清输入，8路高清输出。支持HDMI、DVI、VGA、CVBS、SDI、IP、DP、YPbPr、HDBaseT、KVM、光纤等等多信号混合输入；输出支持HDMI、DVI、 VGA、CVBS、AV、SDI、HDBaseT、光纤及预监回显输出；支持输出自定义分辨率，支持1920x1080@60Hz、1920x1080@30Hz、1366x768@60Hz、1280x720@60Hz、1024x768@60Hz等常规分辨率输出；支持输出映射功能。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输出卡槽支持共享8窗卡、4画面板卡、2画面板卡任意混用，支持单张输出卡共享开8窗，单口输出最大支持开8个图层；主控卡支持多种控制方式，支持RS232串口、TCP网络进行控制；支持开放中控协议；支持RS232以及RS485环出控制显示屏及其他第三方设备；部分接口支持输入输出板卡混插，即同一个槽位既能扩展输入功能又能扩展输出功能；支持显示预案功能，可保存不少于32种预案，一键调用，可通过客户端软件、遥控器、前面板按键一键调用显示预案，各个显示预案之间也可以轮巡切换。</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支持无缝切换，处理器内部集成高清信号处理机制，保证信号切换时无延时、无蓝屏、无黑屏等中间过渡状态；可通过客户端软件控制单路视频图像无缝切换显示或多路视频图像群组无缝切换显示；支持智能去黑边，支持视频图像任意裁剪，支持区域放大；可通过客户端软件按图像像素对视频图像进行截取，并将截取后的图像以正常、放大或缩小形式进行显示。</w:t>
            </w:r>
            <w:r/>
          </w:p>
          <w:p>
            <w:pPr>
              <w:rPr>
                <w:rFonts w:ascii="Times New Roman" w:hAnsi="Times New Roman" w:cs="宋体"/>
                <w:szCs w:val="11"/>
              </w:rPr>
            </w:pPr>
            <w:r>
              <w:rPr>
                <w:rFonts w:hint="eastAsia" w:ascii="Times New Roman" w:hAnsi="Times New Roman" w:cs="宋体"/>
                <w:szCs w:val="11"/>
              </w:rPr>
              <w:t xml:space="preserve">（五）配电柜（14套）：</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1.额定功率：≥20KW；具有过压、浪涌、短路、过流、过载、漏电等保护功能；内置避雷器，具有避雷防雷功能；配电柜含多功能卡控制，具有远程控制功能。</w:t>
            </w:r>
            <w:r/>
          </w:p>
          <w:p>
            <w:pPr>
              <w:rPr>
                <w:rFonts w:ascii="Times New Roman" w:hAnsi="Times New Roman" w:cs="宋体"/>
                <w:szCs w:val="11"/>
              </w:rPr>
            </w:pPr>
            <w:r>
              <w:rPr>
                <w:rFonts w:hint="eastAsia" w:ascii="Times New Roman" w:hAnsi="Times New Roman" w:cs="宋体"/>
                <w:szCs w:val="11"/>
              </w:rPr>
              <w:t xml:space="preserve">（六）屏体钢结构（71.68㎡）：</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1.需按照现场具体进行安装钢结构的设计；钢结构必须牢固、安全、可靠，不得发生任何不稳定性故障；可满足快速安装、拆卸要求；整个安装要求：大屏整体高度与观看距离协调，符合观看习惯。</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项</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szCs w:val="20"/>
              </w:rPr>
            </w:pPr>
            <w:r>
              <w:t xml:space="preserve">53</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LED全彩屏（图书馆四层党员会议室）</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（一）LED屏体（15.66㎡）：</w:t>
            </w:r>
            <w:r/>
          </w:p>
          <w:p>
            <w:pPr>
              <w:rPr>
                <w:rFonts w:ascii="Times New Roman" w:hAnsi="Times New Roman" w:cs="宋体"/>
                <w:szCs w:val="11"/>
              </w:rPr>
            </w:pPr>
            <w:r>
              <w:rPr>
                <w:rFonts w:hint="eastAsia" w:ascii="Times New Roman" w:hAnsi="Times New Roman" w:cs="宋体"/>
                <w:szCs w:val="11"/>
              </w:rPr>
              <w:t xml:space="preserve">★1.像素点间距：≤1.86mm；采用表贴三合一纯黑灯技术，像素密度：≥288000点/㎡。</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2.可</w:t>
            </w:r>
            <w:r>
              <w:rPr>
                <w:rFonts w:hint="eastAsia" w:ascii="Times New Roman" w:hAnsi="Times New Roman" w:cs="宋体"/>
                <w:szCs w:val="11"/>
              </w:rPr>
              <w:t xml:space="preserve">视距离1.2-100米；平整度：≤0.05mm；模组供电：安全电压供电；峰值功率：≤400W/m²；平均功率：≤120W/m²；模组机械强度≥5MP；水平视角：≥170°；垂直视角：≥170°；校正后白平衡亮度：≥800nits,0-100%任意可调；色温：1000K-18000K连续可调，可设冷色、暖色、标准等多种白场调节；色域：≥120%NTSC；发光点中心距偏差：&lt;0.9%；亮度均匀性：≥98.7%色度均匀性：校正后：±0.001 Cx,Cy之内；对比度：≥8000:1；像素失控率：≤0.00001。</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蓝光安全：蓝光对皮肤和眼睛紫外线危害、宽波段的光源对视网膜危害、蓝光对皮肤表面及角膜和视网膜的曝辐射值检测，无危害；抗UV紫外线：符合5级；盐雾测试:符合盐雾10级要求；典型寿命值（hrs）:≥10万小时；平均无故障时间(MTBF):≥10万小时；驱动方式：采用高刷恒流驱动芯片，具有支持亮度调节功能；动态扫描，同步控制，点点对应。</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提升画面能力：提升画面暗部表现能力，解决鬼影、低灰白平衡色偏、低灰不均、第一行扫偏暗、渐变暗线、去除LED坏点十字架、高对比干忧等特点；图像增强与调整处理功能：支持对图像清晰度、饱和度、色度调节、对比度、亮度进行综合式一键视觉修正，具备降噪、增强、运动补偿、无鬼影拖尾、无毛毛虫、鬼影跟随现象色坐标色彩变换处理、钝化处理功能，支持HDR高动态范围图像技术显示；校正数据回读：校正数据存储在模组里，更换模组可自动回读校正数据。</w:t>
            </w:r>
            <w:r/>
          </w:p>
          <w:p>
            <w:pPr>
              <w:rPr>
                <w:rFonts w:ascii="Times New Roman" w:hAnsi="Times New Roman" w:cs="宋体"/>
                <w:szCs w:val="11"/>
              </w:rPr>
            </w:pPr>
            <w:r>
              <w:rPr>
                <w:rFonts w:hint="eastAsia" w:ascii="Times New Roman" w:hAnsi="Times New Roman" w:cs="宋体"/>
                <w:szCs w:val="11"/>
              </w:rPr>
              <w:t xml:space="preserve">（二）大屏解析卡（4张）：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1.解析卡自带HDMI高清接口；标准数据实时传输，无帧存，延时小；≥1路标准HDMI视频接口输入，最大输入分辨率为 2080×1040，可自定义 EDID、USB、485.蓝牙等多方式和 PC 通信，设置参数等。</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支持信号源输入自动选择或通过软件设置指定输入，方便灵活使用。支持通过物理按健方式对屏幕进行红、绿、蓝、白、横扫，竖扫等方式扫描显示；支持通过专业光枪采集屏幕数据，通过软件自动运行数据算法，发送相关数据到屏幕端，实行自动对大屏的白平衡校正，使显示效果更为逼真。</w:t>
            </w:r>
            <w:r/>
          </w:p>
          <w:p>
            <w:pPr>
              <w:rPr>
                <w:rFonts w:ascii="Times New Roman" w:hAnsi="Times New Roman" w:cs="宋体"/>
                <w:szCs w:val="11"/>
              </w:rPr>
            </w:pPr>
            <w:r>
              <w:rPr>
                <w:rFonts w:hint="eastAsia" w:ascii="Times New Roman" w:hAnsi="Times New Roman" w:cs="宋体"/>
                <w:szCs w:val="11"/>
              </w:rPr>
              <w:t xml:space="preserve">（三）大屏控制卡（32张）：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1.自带4个HDMI通信接口，单卡输出20、32组RGB数 据，自带16组HUB75接口或8组HUB320接口，单卡带载像素 256*256.256*511.512*511.512*640，16P接口；通过不同指示灯可判断控制卡通电状况和工作状状，另外可通过指示灯准确判断信号数据流的方向；每个控制卡通过上下左右通信。</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2.控制卡采用标准HDMI2.0线缆连接，数据线缆采用高可靠的带屏蔽数据线，接头金属包围式，不采用RJ45弹片式接触数据线；RGB独立Gamma调节技术增加调节维度，通过对“红Gamma”、“绿 Gamma”、“蓝Gamma”分别进行调节，有效控制显示屏低灰不均 匀、白平衡漂移等问题使画面更加真实，提高色彩调节的灵活性；LED屏幕刷新频率需达到：3840Hz+，同时灰度处理能力（灰阶）需达到16bit以上。</w:t>
            </w:r>
            <w:r/>
          </w:p>
          <w:p>
            <w:pPr>
              <w:rPr>
                <w:rFonts w:ascii="Times New Roman" w:hAnsi="Times New Roman" w:cs="宋体"/>
                <w:szCs w:val="11"/>
              </w:rPr>
            </w:pPr>
            <w:r>
              <w:rPr>
                <w:rFonts w:hint="eastAsia" w:ascii="Times New Roman" w:hAnsi="Times New Roman" w:cs="宋体"/>
                <w:szCs w:val="11"/>
              </w:rPr>
              <w:t xml:space="preserve">（四）视频拼接处理器（1台）：</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支持不少于8路高清输入，8路高清输出；支持HDMI、DVI、VGA、CVBS、SDI、IP、DP、YPbPr、HDBaseT、KVM、光纤等等多信号混合输入；输出支持HDMI、DVI、VGA、CVBS、AV、SDI、HDBaseT、光纤及预监回显输出。支持输出自定义分辨率，支持1920x1080@60Hz、1920x1080@30Hz、1366x768@60Hz、1280x720@60Hz、1024x768@60Hz等常规分辨率输出；支持输出映射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2.输出卡槽支持共享8窗卡、4画面板卡、2画面板卡任意混用，支持单张输出卡共享开8窗，单口输出最大支持开8个图层；主控卡支持多种控制方式，支持RS232串口、TCP网络进行控制。</w:t>
            </w:r>
            <w:r/>
          </w:p>
          <w:p>
            <w:pPr>
              <w:rPr>
                <w:rFonts w:ascii="Times New Roman" w:hAnsi="Times New Roman" w:cs="宋体"/>
                <w:szCs w:val="11"/>
              </w:rPr>
            </w:pPr>
            <w:r>
              <w:rPr>
                <w:rFonts w:hint="eastAsia" w:ascii="Times New Roman" w:hAnsi="Times New Roman" w:cs="宋体"/>
                <w:szCs w:val="11"/>
              </w:rPr>
              <w:t xml:space="preserve">▲3.支持开放中控协议；支持RS232以及RS485环出控制显示屏及其他第三方设备；部分接口支持输入输出板卡混插，即同一个槽位既能扩展输入功能又能扩展输出功能；支持显示预案功能，可保存不少于32种预案，一键调用，可通过客户端软件、遥控器、前面板按键一键调用显示预案，各个显示预案之间也可以轮巡切换。</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支持无缝切换，处理器内部集成高清信号处理机制，保证信号切换时无延时、无蓝屏、无黑屏等中间过渡状态；可通过客户端软件控制单路视频图像无缝切换显示或多路视频图像群组无缝切换显示；支持智能去黑边，支持视频图像任意裁剪，支持区域放大；可通过客户端软件按图像像素对视频图像进行截取，并将截取后的图像以正常、放大或缩小形式进行显示。</w:t>
            </w:r>
            <w:r/>
          </w:p>
          <w:p>
            <w:pPr>
              <w:rPr>
                <w:rFonts w:ascii="Times New Roman" w:hAnsi="Times New Roman" w:cs="宋体"/>
                <w:szCs w:val="11"/>
              </w:rPr>
            </w:pPr>
            <w:r>
              <w:rPr>
                <w:rFonts w:hint="eastAsia" w:ascii="Times New Roman" w:hAnsi="Times New Roman" w:cs="宋体"/>
                <w:szCs w:val="11"/>
              </w:rPr>
              <w:t xml:space="preserve">（五）配电柜（1套）：</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1.额定功率：≥20KW；具有过压、浪涌、短路、过流、过载、漏电等保护功能；内置避雷器，具有避雷防雷功能；配电柜含多功能卡控制，具有远程控制功能。</w:t>
            </w:r>
            <w:r/>
          </w:p>
          <w:p>
            <w:pPr>
              <w:rPr>
                <w:rFonts w:ascii="Times New Roman" w:hAnsi="Times New Roman" w:cs="宋体"/>
                <w:szCs w:val="11"/>
              </w:rPr>
            </w:pPr>
            <w:r>
              <w:rPr>
                <w:rFonts w:hint="eastAsia" w:ascii="Times New Roman" w:hAnsi="Times New Roman" w:cs="宋体"/>
                <w:szCs w:val="11"/>
              </w:rPr>
              <w:t xml:space="preserve">（六）屏体钢结构（15.66㎡）：</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1.需按照现场具体进行安装钢结构的设计；钢结构必须牢固、安全、可靠，不得发生任何不稳定性故障；可满足快速安装、拆卸要求；整个安装要求：大屏整体高度与观看距离协调，符合观看习惯。</w:t>
            </w:r>
            <w:r/>
          </w:p>
          <w:p>
            <w:pPr>
              <w:rPr>
                <w:rFonts w:ascii="Times New Roman" w:hAnsi="Times New Roman" w:cs="宋体"/>
                <w:szCs w:val="11"/>
              </w:rPr>
            </w:pPr>
            <w:r>
              <w:rPr>
                <w:rFonts w:hint="eastAsia" w:ascii="Times New Roman" w:hAnsi="Times New Roman" w:cs="宋体"/>
                <w:szCs w:val="11"/>
              </w:rPr>
              <w:t xml:space="preserve">（七）信息地插（2只）：</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1.内置HDMI*1.电源*1.网络*1.音频*1；HDMI2.0有源光缆（2根）：光纤传输无需外部供电即插即用，接头内置芯片，4K高清超远传输，信号稳定不受电磁干扰，有方向性，30米。</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项</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szCs w:val="20"/>
              </w:rPr>
            </w:pPr>
            <w:r>
              <w:t xml:space="preserve">54</w:t>
            </w:r>
            <w:r/>
          </w:p>
        </w:tc>
        <w:tc>
          <w:tcPr>
            <w:tcW w:w="1559"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LED全彩屏（综合楼一层合班教室2间）</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（一）LED屏体（2块约5.76m*3.2m大屏，36.88㎡）</w:t>
            </w:r>
            <w:r/>
          </w:p>
          <w:p>
            <w:pPr>
              <w:rPr>
                <w:rFonts w:ascii="Times New Roman" w:hAnsi="Times New Roman" w:cs="宋体"/>
                <w:szCs w:val="11"/>
              </w:rPr>
            </w:pPr>
            <w:r>
              <w:rPr>
                <w:rFonts w:hint="eastAsia" w:ascii="Times New Roman" w:hAnsi="Times New Roman" w:cs="宋体"/>
                <w:szCs w:val="11"/>
              </w:rPr>
              <w:t xml:space="preserve">★1.像素点间距：≤1.86mm；采用表贴三合一技术；像素密度：≥288000点/㎡。</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2.可视</w:t>
            </w:r>
            <w:r>
              <w:rPr>
                <w:rFonts w:hint="eastAsia" w:ascii="Times New Roman" w:hAnsi="Times New Roman" w:cs="宋体"/>
                <w:szCs w:val="11"/>
              </w:rPr>
              <w:t xml:space="preserve">距离1.2-100米；平整度：≤0.05mm；模组供电：安全电压供电；峰值功率：≤400W/m²；平均功率：≤120W/m²；模组机械强度≥5MP；水平视角：≥170°；垂直视角：≥170°；校正后白平衡亮度：≥800nits,0-100%任意可调；色温：1000K-18000K连续可调，可设冷色、暖色、标准等多种白场调节；色域：≥120%NTSC；发光点中心距偏差：&lt;0.9%；亮度均匀性：≥98.7%；色度均匀性：校正后：±0.001 Cx,Cy之内；对比度：≥8000:1；像素失控率：≤0.00001。</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蓝光安全：蓝光对皮肤和眼睛紫外线危害、宽波段的光源对视网膜危害、蓝光对皮肤表面及角膜和视网膜的曝辐射值检测，无危害；抗UV紫外线：符合5级；盐雾测试:符合盐雾10级要求；典型寿命值（hrs）:≥10万小时；平均无故障时间(MTBF):≥10万小时；驱动方式：采用高刷恒流驱动芯片，具有支持亮度调节功能；动态扫描，同步控制，点点对应。</w:t>
            </w:r>
            <w:r/>
          </w:p>
          <w:p>
            <w:pPr>
              <w:rPr>
                <w:rFonts w:ascii="Times New Roman" w:hAnsi="Times New Roman" w:cs="宋体"/>
                <w:szCs w:val="11"/>
              </w:rPr>
            </w:pPr>
            <w:r>
              <w:rPr>
                <w:rFonts w:hint="eastAsia" w:ascii="Times New Roman" w:hAnsi="Times New Roman" w:cs="宋体"/>
                <w:szCs w:val="11"/>
              </w:rPr>
              <w:t xml:space="preserve">（二）大屏解析卡（6张）：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1.解析卡自带HDMI高清接口；标准数据实时传输，无帧存，延时小；≥1路标准HDMI视频接口输入，最大输入分辨率为 2080×1040， 可自定义 EDID、USB、485.蓝牙等多方式和 PC 通信，设置参数等。</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支持信号源输入自动选择或通过软件设置指定输入，方便灵活使用；支持通过物理按健方式对屏幕进行红、绿、蓝、白、横扫，竖扫等方式扫描显示；支持通过专业光枪采集屏幕数据，通过软件自动运行数据算法，发送相关数据到屏幕端，实行自动对大屏的白平衡校正，使显示效果更为逼真。</w:t>
            </w:r>
            <w:r/>
          </w:p>
          <w:p>
            <w:pPr>
              <w:rPr>
                <w:rFonts w:ascii="Times New Roman" w:hAnsi="Times New Roman" w:cs="宋体"/>
                <w:szCs w:val="11"/>
              </w:rPr>
            </w:pPr>
            <w:r>
              <w:rPr>
                <w:rFonts w:hint="eastAsia" w:ascii="Times New Roman" w:hAnsi="Times New Roman" w:cs="宋体"/>
                <w:szCs w:val="11"/>
              </w:rPr>
              <w:t xml:space="preserve">（三）大屏控制卡（56张）：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1.自带4个HDMI通信接口，单卡输出20、32组RGB数 据，自带16组HUB75接口或8组HUB320接口，单卡带载像素 256*256.256*511.512*511.512*640，16P接口；通过不同指示灯可判断控制卡通电状况和工作状状，另外可通过指示灯准确判断信号数据流的方向；每个控制卡通过上下左右通信。</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2.控制卡采用标准HDMI2.0线缆连接，数据线缆采用高可靠的带屏蔽数据线，接头金属包围式，不采用RJ45弹片式接触数据线；RGB独立Gamma调节技术增加调节维度，通过对“红Gamma”、“绿 Gamma”、“蓝Gamma”分别进行调节，有效控制显示屏低灰不均匀、白平衡漂移等问题使画面更加真实，提高色彩调节的灵活性；LED屏幕刷新频率需达到：3840Hz+，同时灰度处理能力（灰阶）需达到16bit以上。</w:t>
            </w:r>
            <w:r/>
          </w:p>
          <w:p>
            <w:pPr>
              <w:rPr>
                <w:rFonts w:ascii="Times New Roman" w:hAnsi="Times New Roman" w:cs="宋体"/>
                <w:szCs w:val="11"/>
              </w:rPr>
            </w:pPr>
            <w:r>
              <w:rPr>
                <w:rFonts w:hint="eastAsia" w:ascii="Times New Roman" w:hAnsi="Times New Roman" w:cs="宋体"/>
                <w:szCs w:val="11"/>
              </w:rPr>
              <w:t xml:space="preserve">（四）视频拼接处理器（2台）：</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1.支持不少于8路高清输入，8路高清输出；支持HDMI、DVI、 VGA、CVBS、SDI、IP、DP、YPbPr、HDBaseT、KVM、光纤等等多信号混合输入；输出支持HDMI、DVI、 VGA、CVBS、AV、SDI、HDBaseT、光纤及预监回显输出；支持输出自定义分辨率，支持1920x1080@60Hz、1920x1080@30Hz、1366x768@60Hz、1280x720@60Hz、1024x768@60Hz等常规分辨率输出；支持输出映射功能。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输出卡槽支持共享8窗卡、4画面板卡、2画面板卡任意混用，支持单张输出卡共享开8窗，单口输出最大支持开8个图层；主控卡支持多种控制方式，支持RS232串口、TCP网络进行控制；支持开放中控协议；支持RS232以及RS485环出控制显示屏及其他第三方设备；部分接口支持输入输出板卡混插，即同一个槽位既能扩展输入功能又能扩展输出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支持显示预案功能，可保存不少于32种预案，一键调用，可通过客户端软件、遥控器、前面板按键一键调用显示预案，各个显示预案之间也可以轮巡切换；支持无缝切换，处理器内部集成高清信号处理机制，保证信号切换时无延时、无蓝屏、无黑屏等中间过渡状态；可通过客户端软件控制单路视频图像无缝切换显示或多路视频图像群组无缝切换显示；支持智能去黑边，支持视频图像任意裁剪，支持区域放大；可通过客户端软件按图像像素对视频图像进行截取，并将截取后的图像以正常、放大或缩小形式进行显示。</w:t>
            </w:r>
            <w:r/>
          </w:p>
          <w:p>
            <w:pPr>
              <w:rPr>
                <w:rFonts w:ascii="Times New Roman" w:hAnsi="Times New Roman" w:cs="宋体"/>
                <w:szCs w:val="11"/>
              </w:rPr>
            </w:pPr>
            <w:r>
              <w:rPr>
                <w:rFonts w:hint="eastAsia" w:ascii="Times New Roman" w:hAnsi="Times New Roman" w:cs="宋体"/>
                <w:szCs w:val="11"/>
              </w:rPr>
              <w:t xml:space="preserve">（五）配电柜（2套）：</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1.额定功率：≥20KW；具有过压、浪涌、短路、过流、过载、漏电等保护功能；内置避雷器，具有避雷防雷功能；配电柜含多功能卡控制，具有远程控制功能。</w:t>
            </w:r>
            <w:r/>
          </w:p>
          <w:p>
            <w:pPr>
              <w:rPr>
                <w:rFonts w:ascii="Times New Roman" w:hAnsi="Times New Roman" w:cs="宋体"/>
                <w:szCs w:val="11"/>
              </w:rPr>
            </w:pPr>
            <w:r>
              <w:rPr>
                <w:rFonts w:hint="eastAsia" w:ascii="Times New Roman" w:hAnsi="Times New Roman" w:cs="宋体"/>
                <w:szCs w:val="11"/>
              </w:rPr>
              <w:t xml:space="preserve">（六）屏体钢结构（36.88㎡）</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1.需按照现场具体进行安装钢结构的设计；钢结构必须牢固、安全、可靠，不得发生任何不稳定性故障；可满足快速安装、拆卸要求；整个安装要求：大屏整体高度与观看距离协调，符合观看习惯。</w:t>
            </w:r>
            <w:r/>
          </w:p>
          <w:p>
            <w:pPr>
              <w:rPr>
                <w:rFonts w:ascii="Times New Roman" w:hAnsi="Times New Roman" w:cs="宋体"/>
                <w:szCs w:val="11"/>
              </w:rPr>
            </w:pPr>
            <w:r>
              <w:rPr>
                <w:rFonts w:hint="eastAsia" w:ascii="Times New Roman" w:hAnsi="Times New Roman" w:cs="宋体"/>
                <w:szCs w:val="11"/>
              </w:rPr>
              <w:t xml:space="preserve">（七）信息地插（2只）</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1.内置HDMI*1.电源*1.网络*1.音频*1；HDMI2.0有源光缆（2根）：光纤传输无需外部供电即插即用，接头内置芯片，4K高清超远传输，信号稳定不受电磁干扰，有方向性，30米。</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项</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szCs w:val="20"/>
              </w:rPr>
            </w:pPr>
            <w:r>
              <w:t xml:space="preserve">55</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LED全彩屏（图书馆四层小会议室（共计3间））</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（一）LED屏体（13.9㎡）：</w:t>
            </w:r>
            <w:r/>
          </w:p>
          <w:p>
            <w:pPr>
              <w:rPr>
                <w:rFonts w:ascii="Times New Roman" w:hAnsi="Times New Roman" w:cs="宋体"/>
                <w:szCs w:val="11"/>
              </w:rPr>
            </w:pPr>
            <w:r>
              <w:rPr>
                <w:rFonts w:hint="eastAsia" w:ascii="Times New Roman" w:hAnsi="Times New Roman" w:cs="宋体"/>
                <w:szCs w:val="11"/>
              </w:rPr>
              <w:t xml:space="preserve">★1.像素点间距：≤1.86mm；采用表贴三合一纯黑灯技术，像素密度：≥288000点/㎡。</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可视距离1.2-100米；平整度：≤0.05mm；模组供电：安全电压供电；峰值功率：≤400W/m²；平均功率：≤120W/m²；水平视角：≥170°；垂直视角：≥170°；模组机械强度≥5MP；校正后白平衡亮度：≥800nits,0-100%任意可调；色温：1000K-18000K连续可调，可设冷色、暖色、标准等多种白场调节；色域：≥120%NTSC。</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3.发光点中心距偏差：&lt;0.9%；亮度均匀性：≥98.7%；色度均匀性：校正后：±0.001 Cx,Cy之内；对比度：≥8000:1；像素失控率：≤0.00001。</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蓝光安全：蓝光对皮肤和眼睛紫外线危害、宽波段的光源对视网膜危害、蓝光对皮肤表面及角膜和视网膜的曝辐射值检测，无危害；抗UV紫外线：符合5级；盐雾测试:符合盐雾10级要求；典型寿命值（hrs）:≥10万小时；平均无故障时间(MTBF):≥10万小时；驱动方式：采用高刷恒流驱动芯片，具有支持亮度调节功能；动态扫描，同步控制，点点对应。</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5.提升画面能力：提升画面暗部表现能力，解决鬼影、低灰白平衡色偏、低灰不均、第一行扫偏暗、渐变暗线、去除LED坏点十字架、高对比干忧等特点；图像增强与调整处理功能：支持对图像清晰度、饱和度、色度调节、对比度、亮度进行综合式一键视觉修正，具备降噪、增强、运动补偿、无鬼影拖尾、无毛毛虫、鬼影跟随现象色坐标色彩变换处理、钝化处理功能，支持HDR高动态范围图像技术显示；校正数据回读：校正数据存储在模组里，更换模组可自动回读校正数据。</w:t>
            </w:r>
            <w:r/>
          </w:p>
          <w:p>
            <w:pPr>
              <w:rPr>
                <w:rFonts w:ascii="Times New Roman" w:hAnsi="Times New Roman" w:cs="宋体"/>
                <w:szCs w:val="11"/>
              </w:rPr>
            </w:pPr>
            <w:r>
              <w:rPr>
                <w:rFonts w:hint="eastAsia" w:ascii="Times New Roman" w:hAnsi="Times New Roman" w:cs="宋体"/>
                <w:szCs w:val="11"/>
              </w:rPr>
              <w:t xml:space="preserve">（二）大屏解析卡（2张）：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广播型总线数据传输方式，无帧存，实时传输，延时小；1路标准HDMI视频接口输入，最大输入分辨率为2080×1040，可自定义EDID;1xUSB、2xRS485、蓝牙，多方式和PC通信，设置参数、调节亮度、色温、对比度等，并能在PC端实时查看控制卡的连接和工作状态。</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支持逐点亮色度校正技术，模组、箱体边缘亮线校正技术，校正过程快速高效，支持直接现场校正并且保存本地；根据显示屏所用LED的不同特性，实现白平衡校准及色域匹配，确保色彩真实还原；多个1080P高清屏幕组成的超大屏幕，在连接数据线时无需分区，可以把所有的数据线都连接，系统会自动检测边界，从而智能地构造组合屏幕。</w:t>
            </w:r>
            <w:r/>
          </w:p>
          <w:p>
            <w:pPr>
              <w:rPr>
                <w:rFonts w:ascii="Times New Roman" w:hAnsi="Times New Roman" w:cs="宋体"/>
                <w:szCs w:val="11"/>
              </w:rPr>
            </w:pPr>
            <w:r>
              <w:rPr>
                <w:rFonts w:hint="eastAsia" w:ascii="Times New Roman" w:hAnsi="Times New Roman" w:cs="宋体"/>
                <w:szCs w:val="11"/>
              </w:rPr>
              <w:t xml:space="preserve">（三）大屏控制卡（22张）：</w:t>
            </w:r>
            <w:r/>
          </w:p>
          <w:p>
            <w:pPr>
              <w:rPr>
                <w:rFonts w:ascii="Times New Roman" w:hAnsi="Times New Roman" w:cs="宋体"/>
                <w:strike/>
                <w:szCs w:val="11"/>
                <w:highlight w:val="yellow"/>
              </w:rPr>
            </w:pPr>
            <w:r>
              <w:rPr>
                <w:rFonts w:hint="eastAsia" w:ascii="Times New Roman" w:hAnsi="Times New Roman" w:cs="宋体"/>
                <w:bCs/>
                <w:iCs/>
                <w:szCs w:val="15"/>
              </w:rPr>
              <w:t xml:space="preserve">○</w:t>
            </w:r>
            <w:r>
              <w:rPr>
                <w:rFonts w:hint="eastAsia" w:ascii="Times New Roman" w:hAnsi="Times New Roman" w:cs="宋体"/>
                <w:szCs w:val="11"/>
              </w:rPr>
              <w:t xml:space="preserve">1.无需转接板，单卡自带16个HUB75单卡带载像素512*512，16 P接口；支持各种PWM芯片、双锁存芯片、通用芯片；支持静态屏、1/2～1/64扫之间的任意扫描类型；支持逐点亮色度校正，可以对每个灯点的亮度和色度进行校正，有效消除色差，使整屏的亮度和色度达到高度均匀一致，提高显示屏的画质。</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2.标准化接口设计，控制卡采用标准HDMI2.0线缆连接，数据线缆采用高可靠的带屏蔽数据线，接头金属包围式，不采用RJ45弹片式接触数据线；RGB独立Gamma调节技术增加调节维度，通过对“红 Gamma”、“绿 Gamma”、“蓝 Gamma”分别进行调节，有效控制显示屏低灰不均匀、白平衡漂移等问题，使画面更加真实，提高色彩调节的灵活性；LED屏幕刷新频率需达到：3840Hz+，同时灰度处理能力（灰阶）需达到16bit以上。</w:t>
            </w:r>
            <w:r/>
          </w:p>
          <w:p>
            <w:pPr>
              <w:rPr>
                <w:rFonts w:ascii="Times New Roman" w:hAnsi="Times New Roman" w:cs="宋体"/>
                <w:szCs w:val="11"/>
              </w:rPr>
            </w:pPr>
            <w:r>
              <w:rPr>
                <w:rFonts w:hint="eastAsia" w:ascii="Times New Roman" w:hAnsi="Times New Roman" w:cs="宋体"/>
                <w:szCs w:val="11"/>
              </w:rPr>
              <w:t xml:space="preserve">（四）视频拼接处理器（1台）：</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支持不少于8路高清输入，8路高清输出；支持HDMI、DVI、VGA、CVBS、SDI、IP、DP、YPbPr、HDBaseT、KVM、光纤等等多信号混合输入；输出支持HDMI、DVI、VGA、CVBS、AV、SDI、HDBaseT、光纤及预监回显输出；支持输出自定义分辨率，支持1920x1080@60Hz、1920x1080@30Hz、1366x768@60Hz、1280x720@60Hz、1024x768@60Hz等常规分辨率输出；支持输出映射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输出卡槽支持共享8窗卡、4画面板卡、2画面板卡任意混用，支持单张输出卡共享开8窗，单口输出最大支持开8个图层；主控卡支持多种控制方式，支持RS232串口、TCP网络进行控制；支持开放中控协议；支持RS232以及RS485环出控制显示屏及其他第三方设备；部分接口支持输入输出板卡混插，即同一个槽位既能扩展输入功能又能扩展输出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支持显示预案功能，可保存不少于32种预案，一键调用，可通过客户端软件、遥控器、前面板按键一键调用显示预案，各个显示预案之间也可以轮巡切换；支持无缝切换，处理器内部集成高清信号处理机制，保证信号切换时无延时、无蓝屏、无黑屏等中间过渡状态；可通过客户端软件控制单路视频图像无缝切换显示或多路视频图像群组无缝切换显示。</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4.支持智能去黑边，支持视频图像任意裁剪，支持区域放大；可通过客户端软件按图像像素对视频图像进行截取，并将截取后的图像以正常、放大或缩小形式进行显示。</w:t>
            </w:r>
            <w:r/>
          </w:p>
          <w:p>
            <w:pPr>
              <w:rPr>
                <w:rFonts w:ascii="Times New Roman" w:hAnsi="Times New Roman" w:cs="宋体"/>
                <w:szCs w:val="11"/>
              </w:rPr>
            </w:pPr>
            <w:r>
              <w:rPr>
                <w:rFonts w:hint="eastAsia" w:ascii="Times New Roman" w:hAnsi="Times New Roman" w:cs="宋体"/>
                <w:szCs w:val="11"/>
              </w:rPr>
              <w:t xml:space="preserve">（五）配电柜（2套）：</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1.额定功率：≥20KW；具有过压、浪涌、短路、过流、过载、漏电等保护功能；内置避雷器，具有避雷防雷功能；配电柜含多功能卡控制，具有远程控制功能；长距离传输，HDMI2.0光纤，集成芯片。</w:t>
            </w:r>
            <w:r/>
          </w:p>
          <w:p>
            <w:pPr>
              <w:rPr>
                <w:rFonts w:ascii="Times New Roman" w:hAnsi="Times New Roman" w:cs="宋体"/>
                <w:szCs w:val="11"/>
              </w:rPr>
            </w:pPr>
            <w:r>
              <w:rPr>
                <w:rFonts w:hint="eastAsia" w:ascii="Times New Roman" w:hAnsi="Times New Roman" w:cs="宋体"/>
                <w:szCs w:val="11"/>
              </w:rPr>
              <w:t xml:space="preserve">（六）屏体钢结构（13.9㎡）：</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1.需按照现场具体进行安装钢结构的设计；钢结构必须牢固、安全、可靠，不得发生任何不稳定性故障；可满足快速安装、拆卸要求；整个安装要求：大屏整体高度与观看距离协调，符合观看习惯。</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项</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szCs w:val="20"/>
              </w:rPr>
            </w:pPr>
            <w:r>
              <w:t xml:space="preserve">56</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室外LED全彩屏（室外门口）</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（一）LED屏体（14.75㎡）：</w:t>
            </w:r>
            <w:r/>
          </w:p>
          <w:p>
            <w:pPr>
              <w:rPr>
                <w:rFonts w:ascii="Times New Roman" w:hAnsi="Times New Roman" w:cs="宋体"/>
                <w:szCs w:val="11"/>
              </w:rPr>
            </w:pPr>
            <w:r>
              <w:rPr>
                <w:rFonts w:hint="eastAsia" w:ascii="Times New Roman" w:hAnsi="Times New Roman" w:cs="宋体"/>
                <w:szCs w:val="11"/>
              </w:rPr>
              <w:t xml:space="preserve">★1.像素点间距≤2.5mm，像素密度≥160000点/㎡；模组尺寸：W×H=320mmm×160mm。</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2.拼装精度：前维护平整度≤0.5mm ,像素 中心距相对偏差≤7.5%,水平、垂直相对错位≤4.5%；后维护平整度≤0.2mm,像素中心 距相对偏差≤5%，水平、垂直相对错位≤5%；外观质量：在自然光线下通过目测面罩无马赛克、不反光；LED显示屏单位面积的最大功耗(W/m²),峰值功耗≤900W/m；模组供电：模组采用4.5VDC安全供电；功耗：峰值功耗：≤400W/m²；平均功耗：≤125W/m²；接地：单个接地电阻R≤0.1Ω,多个≤12Ω。</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3.模组机械强度≥5MP；蓝光安全：蓝光对皮肤和眼睛紫外线危害、宽波段的光源对视网膜危害、蓝光对皮肤表面及角膜和视网膜的曝辐射值检测，无危害；亮度：亮度≥5500cd/m²，0-100%任意可调；可视角度：水平视角应≥±60，垂直视角应≥±50°；亮度均匀性：≥95%；对比度：≥10000:1；发光点中心距偏差：≤0.9%。</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4.色温：1000K-18000K连续可调，可设冷色、暖色、标准等多档白场调节；信号处理深度：信号处理深度≥12bit；灰度等级：灰度等级≥1024级；换帧频率：换帧频率应≥60Hz；刷新率：刷新率≥1920Hz。</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5.亮度调节：支持通过配套软件0-100%多级调节，设置亮度定时调节，及通过亮度传感器自动调节(手动/自动/软件任意调节)支持 HDR高动态范围图像技术显示；低亮高灰：100%亮度时，16bit灰度；70% 亮度时，16bit灰度；50%亮度 时，16bit灰度；20%亮度时，15bit灰度；像素点失控（坏点或盲点）率：像素失控率≤0.00001；色域：色域≥120%NTSC。</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6.使用寿命：≥100000h；外壳防护等级：显示模组和显示屏外壳防护等级不低于IP66。</w:t>
            </w:r>
            <w:r/>
          </w:p>
          <w:p>
            <w:pPr>
              <w:rPr>
                <w:rFonts w:ascii="Times New Roman" w:hAnsi="Times New Roman" w:cs="宋体"/>
                <w:szCs w:val="11"/>
              </w:rPr>
            </w:pPr>
            <w:r>
              <w:rPr>
                <w:rFonts w:hint="eastAsia" w:ascii="Times New Roman" w:hAnsi="Times New Roman" w:cs="宋体"/>
                <w:szCs w:val="11"/>
              </w:rPr>
              <w:t xml:space="preserve">（二）大屏解析卡（2张）：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1.广播型总线数据传输方式，无帧存，实时传输，延时小</w:t>
            </w:r>
            <w:r>
              <w:rPr>
                <w:rFonts w:hint="eastAsia" w:ascii="Times New Roman" w:hAnsi="Times New Roman" w:cs="宋体"/>
                <w:bCs/>
                <w:iCs/>
                <w:szCs w:val="15"/>
              </w:rPr>
              <w:t xml:space="preserve">；</w:t>
            </w:r>
            <w:r>
              <w:rPr>
                <w:rFonts w:hint="eastAsia" w:ascii="Times New Roman" w:hAnsi="Times New Roman" w:cs="宋体"/>
                <w:szCs w:val="11"/>
              </w:rPr>
              <w:t xml:space="preserve">支持多个解析卡进行级联拼接，可通过PC端软件进行统一控制；支持逐点亮色度校正技术，模组、箱体边缘亮线校正技术，校正过程快速高效，支持直接现场校正并且保存本地；根据显示屏所用LED的不同特性，实现白平衡校准及色域匹配，确保色彩真实还原；多个1080P高清屏幕组成的超大屏幕，在连接数据线时无需分区，可以把所有的数据线都连接，系统会自动检测边界，从而智能地构造组合屏幕。</w:t>
            </w:r>
            <w:r/>
          </w:p>
          <w:p>
            <w:pPr>
              <w:rPr>
                <w:rFonts w:ascii="Times New Roman" w:hAnsi="Times New Roman" w:cs="宋体"/>
                <w:szCs w:val="11"/>
              </w:rPr>
            </w:pPr>
            <w:r>
              <w:rPr>
                <w:rFonts w:hint="eastAsia" w:ascii="Times New Roman" w:hAnsi="Times New Roman" w:cs="宋体"/>
                <w:szCs w:val="11"/>
              </w:rPr>
              <w:t xml:space="preserve">（三）大屏控制卡（48张）：</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1.无需转接板，单卡自带16个HUB75单卡带载像素512*512，16 P接口；支持各种PWM芯片、双锁存芯片、通用芯片；支持静态屏、1/2～1/64扫之间的任意扫描类型；支持逐点亮色度校正，可以对每个灯点的亮度和色度进行校正，有效消除色差，使整屏的亮度和色度达到高度均匀一致，提高显示屏的画质；标准化接口设计，控制卡采用标准HDMI2.0线缆连接，数据线缆采用高可靠的带屏蔽数据线，接头金属包围式，不采用RJ45弹片式接触数据线。</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2.RGB独立Gamma调节技术增加调节维度，通过对“红 Gamma”、“绿 Gamma”、“蓝 Gamma”分别进行调节，有效控制显示屏低灰不均匀、白平衡漂移等问题，使画面更加真实，提高色彩调节的灵活性；LED屏幕刷新频率需达到：3840Hz+，同时灰度处理能力（灰阶）需达到16bit以上。</w:t>
            </w:r>
            <w:r/>
          </w:p>
          <w:p>
            <w:pPr>
              <w:rPr>
                <w:rFonts w:ascii="Times New Roman" w:hAnsi="Times New Roman" w:cs="宋体"/>
                <w:szCs w:val="11"/>
              </w:rPr>
            </w:pPr>
            <w:r>
              <w:rPr>
                <w:rFonts w:hint="eastAsia" w:ascii="Times New Roman" w:hAnsi="Times New Roman" w:cs="宋体"/>
                <w:szCs w:val="11"/>
              </w:rPr>
              <w:t xml:space="preserve">（四）视频处理器（1台）：</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支持不少于8路高清输入，8路高清输出；支持HDMI、DVI、VGA、CVBS、SDI、IP、DP、YPbPr、HDBaseT、KVM、光纤等等多信号混合输入；输出支持HDMI、DVI、VGA、CVBS、AV、SDI、HDBaseT、光纤及预监回显输出；支持输出自定义分辨率，支持1920x1080@60Hz、1920x1080@30Hz、1366x768@60Hz、1280x720@60Hz、1024x768@60Hz等常规分辨率输出；支持输出映射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2.输出卡槽支持共享8窗卡、4画面板卡、2画面板卡任意混用，支持单张输出卡共享开8窗，单口输出最大支持开8个图层；主控卡支持多种控制方式，支持RS232串口、TCP网络进行控制；支持开放中控协议。</w:t>
            </w:r>
            <w:r/>
          </w:p>
          <w:p>
            <w:pPr>
              <w:rPr>
                <w:rFonts w:ascii="Times New Roman" w:hAnsi="Times New Roman" w:cs="宋体"/>
                <w:szCs w:val="11"/>
              </w:rPr>
            </w:pPr>
            <w:r>
              <w:rPr>
                <w:rFonts w:hint="eastAsia" w:ascii="Times New Roman" w:hAnsi="Times New Roman" w:cs="宋体"/>
                <w:szCs w:val="11"/>
              </w:rPr>
              <w:t xml:space="preserve">▲3.支持RS232以及RS485环出控制显示屏及其他第三方设备；部分接口支持输入输出板卡混插，即同一个槽位既能扩展输入功能又能扩展输出功能；支持显示预案功能，可保存不少于32种预案，一键调用，可通过客户端软件、遥控器、前面板按键一键调用显示预案，各个显示预案之间也可以轮巡切换。</w:t>
            </w:r>
            <w:r/>
          </w:p>
          <w:p>
            <w:pPr>
              <w:rPr>
                <w:rFonts w:ascii="Times New Roman" w:hAnsi="Times New Roman" w:cs="宋体"/>
                <w:szCs w:val="11"/>
              </w:rPr>
            </w:pPr>
            <w:r>
              <w:rPr>
                <w:rFonts w:hint="eastAsia" w:ascii="Times New Roman" w:hAnsi="Times New Roman" w:cs="宋体"/>
                <w:szCs w:val="11"/>
              </w:rPr>
              <w:t xml:space="preserve">▲4.支持无缝切换，处理器内部集成高清信号处理机制，保证信号切换时无延时、无蓝屏、无黑屏等中间过渡状态；可通过客户端软件控制单路视频图像无缝切换显示或多路视频图像群组无缝切换显示；支持智能去黑边，支持视频图像任意裁剪，支持区域放大；可通过客户端软件按图像像素对视频图像进行截取，并将截取后的图像以正常、放大或缩小形式进行显示。</w:t>
            </w:r>
            <w:r/>
          </w:p>
          <w:p>
            <w:pPr>
              <w:rPr>
                <w:rFonts w:ascii="Times New Roman" w:hAnsi="Times New Roman" w:cs="宋体"/>
                <w:szCs w:val="11"/>
              </w:rPr>
            </w:pPr>
            <w:r>
              <w:rPr>
                <w:rFonts w:hint="eastAsia" w:ascii="Times New Roman" w:hAnsi="Times New Roman" w:cs="宋体"/>
                <w:szCs w:val="11"/>
              </w:rPr>
              <w:t xml:space="preserve">（五）屏体钢结构（14.75㎡）：</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1.需按照现场具体进行安装钢结构的设计；钢结构必须牢固、安全、可靠，不得发生任何不稳定性故障；可满足快速安装、拆卸要求；整个安装要求：大屏整体高度与观看距离协调，符合观看习惯。</w:t>
            </w:r>
            <w:r/>
          </w:p>
          <w:p>
            <w:pPr>
              <w:rPr>
                <w:rFonts w:ascii="Times New Roman" w:hAnsi="Times New Roman" w:cs="宋体"/>
                <w:szCs w:val="11"/>
              </w:rPr>
            </w:pPr>
            <w:r>
              <w:rPr>
                <w:rFonts w:hint="eastAsia" w:ascii="Times New Roman" w:hAnsi="Times New Roman" w:cs="宋体"/>
                <w:szCs w:val="11"/>
              </w:rPr>
              <w:t xml:space="preserve">（六）长距离传输</w:t>
            </w:r>
            <w:r/>
          </w:p>
          <w:p>
            <w:pPr>
              <w:rPr>
                <w:rFonts w:ascii="Times New Roman" w:hAnsi="Times New Roman" w:cs="宋体"/>
                <w:szCs w:val="11"/>
              </w:rPr>
            </w:pPr>
            <w:r>
              <w:rPr>
                <w:rFonts w:hint="eastAsia" w:ascii="Times New Roman" w:hAnsi="Times New Roman" w:cs="宋体"/>
                <w:bCs/>
                <w:iCs/>
                <w:szCs w:val="15"/>
              </w:rPr>
              <w:t xml:space="preserve">○1.</w:t>
            </w:r>
            <w:r>
              <w:rPr>
                <w:rFonts w:hint="eastAsia" w:ascii="Times New Roman" w:hAnsi="Times New Roman" w:cs="宋体"/>
                <w:szCs w:val="11"/>
              </w:rPr>
              <w:t xml:space="preserve">HDMI2.0光纤，集成芯片，其他辅材等，以上数量及参数性能等需满足使用需求。</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项</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1</w:t>
            </w:r>
            <w:r/>
          </w:p>
        </w:tc>
      </w:tr>
      <w:tr>
        <w:trPr/>
        <w:tc>
          <w:tcPr>
            <w:tcW w:w="704" w:type="dxa"/>
            <w:vAlign w:val="center"/>
            <w:textDirection w:val="lrTb"/>
            <w:noWrap w:val="false"/>
          </w:tcPr>
          <w:p>
            <w:pPr>
              <w:jc w:val="center"/>
              <w:rPr>
                <w:rFonts w:ascii="Times New Roman" w:hAnsi="Times New Roman"/>
                <w:szCs w:val="20"/>
              </w:rPr>
            </w:pPr>
            <w:r>
              <w:t xml:space="preserve">57</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空调</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szCs w:val="11"/>
              </w:rPr>
              <w:t xml:space="preserve">★1.具有来电自启功能。</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2.能效等级≥3级；制冷量≥3500W；电源：220V/50Hz；安装配套辅材壁挂支架国标电源线及纯铜管道。</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2</w:t>
            </w:r>
            <w:r/>
          </w:p>
        </w:tc>
      </w:tr>
      <w:tr>
        <w:trPr/>
        <w:tc>
          <w:tcPr>
            <w:tcW w:w="704" w:type="dxa"/>
            <w:vAlign w:val="center"/>
            <w:textDirection w:val="lrTb"/>
            <w:noWrap w:val="false"/>
          </w:tcPr>
          <w:p>
            <w:pPr>
              <w:jc w:val="center"/>
              <w:rPr>
                <w:rFonts w:ascii="Times New Roman" w:hAnsi="Times New Roman"/>
                <w:szCs w:val="20"/>
              </w:rPr>
            </w:pPr>
            <w:r>
              <w:t xml:space="preserve">58</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返看屏幕</w:t>
            </w:r>
            <w:r>
              <w:rPr>
                <w:rFonts w:hint="eastAsia" w:ascii="Times New Roman" w:hAnsi="Times New Roman" w:cs="宋体"/>
              </w:rPr>
              <w:t xml:space="preserve">（电视）</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1.尺寸≥55英寸；刷屏率≥120Hz；运行内存(RAM)≥2GB，机身内存(ROM)≥32GB。</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4.00</w:t>
            </w:r>
            <w:r/>
          </w:p>
        </w:tc>
      </w:tr>
      <w:tr>
        <w:trPr/>
        <w:tc>
          <w:tcPr>
            <w:tcW w:w="704" w:type="dxa"/>
            <w:vAlign w:val="center"/>
            <w:textDirection w:val="lrTb"/>
            <w:noWrap w:val="false"/>
          </w:tcPr>
          <w:p>
            <w:pPr>
              <w:jc w:val="center"/>
              <w:rPr>
                <w:rFonts w:ascii="Times New Roman" w:hAnsi="Times New Roman"/>
                <w:szCs w:val="20"/>
              </w:rPr>
            </w:pPr>
            <w:r>
              <w:t xml:space="preserve">59</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液晶显示器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1.尺寸≥22英寸液晶显示器；分辨率≥1920×1080 FULL HD 全高清分辨率；水平可视角度≥170°，垂直可视角度≥170°；≥1 路 HDMI 高清数字接口；≥1 路 D-sub（VGA）模拟信号接口；≥1 路 RS232 控制接口（支持基础开关机、信号切换控制功能）；支持多信号源一键切换；支持亮度、对比度、色温等显示参数精细化调节；支持无信号自动待机节能、有信号自动唤醒功能；具备防残影功能，可有效改善静态画面长时间显示造成的残影问题。</w:t>
            </w:r>
            <w:r/>
          </w:p>
        </w:tc>
        <w:tc>
          <w:tcPr>
            <w:tcW w:w="738"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4.00</w:t>
            </w:r>
            <w:r/>
          </w:p>
        </w:tc>
      </w:tr>
      <w:tr>
        <w:trPr/>
        <w:tc>
          <w:tcPr>
            <w:tcW w:w="704" w:type="dxa"/>
            <w:vAlign w:val="center"/>
            <w:textDirection w:val="lrTb"/>
            <w:noWrap w:val="false"/>
          </w:tcPr>
          <w:p>
            <w:pPr>
              <w:jc w:val="center"/>
              <w:rPr>
                <w:rFonts w:ascii="Times New Roman" w:hAnsi="Times New Roman"/>
                <w:szCs w:val="20"/>
              </w:rPr>
            </w:pPr>
            <w:r>
              <w:t xml:space="preserve">60</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46寸拼接屏（配套支架底座）</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1.LCD显示单元为：46寸超窄边液晶屏；单元物理拼缝≤3.5mm，物理分辨率达到1920×1080，对比度达到1000：1；LCD显示单元响应时间≤8ms，亮度达到500cd/㎡，图像显示清晰度达到1000TVL。</w:t>
            </w:r>
            <w:r/>
          </w:p>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2.屏幕支持防灼烧功能，能够有效改善液晶长时间显示静态画面时造成的残影现象；拼接屏具备智能温控功能，当屏幕温度在55-60℃之间时，会提醒用户温度过高，请及时通风；当温度超过60℃，屏幕会立即进入休眠状态；等温度降至50℃以下会被唤醒或者通过遥控器主动唤醒；设备支持不断电待机功能，当无任何信号输入时，设备在规定时间内自动待机节能，当有信号接入时，设备能快速开机，正常显示；待机功耗低于0.5W。</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8</w:t>
            </w:r>
            <w:r/>
          </w:p>
        </w:tc>
      </w:tr>
      <w:tr>
        <w:trPr/>
        <w:tc>
          <w:tcPr>
            <w:tcW w:w="704" w:type="dxa"/>
            <w:vAlign w:val="center"/>
            <w:textDirection w:val="lrTb"/>
            <w:noWrap w:val="false"/>
          </w:tcPr>
          <w:p>
            <w:pPr>
              <w:jc w:val="center"/>
              <w:rPr>
                <w:rFonts w:ascii="Times New Roman" w:hAnsi="Times New Roman"/>
                <w:szCs w:val="20"/>
              </w:rPr>
            </w:pPr>
            <w:r>
              <w:t xml:space="preserve">61</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操作台</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○1.  </w:t>
            </w:r>
            <w:r>
              <w:rPr>
                <w:rFonts w:hint="eastAsia" w:ascii="Times New Roman" w:hAnsi="Times New Roman" w:cs="宋体"/>
                <w:szCs w:val="11"/>
              </w:rPr>
              <w:t xml:space="preserve">2联，录播教室2套（定制，规格≥1200*700*750），门卫监控屏2套（定制），监控屏、校园驾驶舱各1套（定制），操作台选用材料：冷轧钢板或者不锈钢；表面处理：脱脂、酸洗、磷化、静电喷塑。</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套</w:t>
            </w:r>
            <w:r/>
          </w:p>
        </w:tc>
        <w:tc>
          <w:tcPr>
            <w:tcW w:w="810" w:type="dxa"/>
            <w:vAlign w:val="center"/>
            <w:textDirection w:val="lrTb"/>
            <w:noWrap/>
          </w:tcPr>
          <w:p>
            <w:pPr>
              <w:jc w:val="center"/>
              <w:rPr>
                <w:rFonts w:ascii="Times New Roman" w:hAnsi="Times New Roman" w:cs="宋体"/>
                <w:szCs w:val="11"/>
              </w:rPr>
            </w:pPr>
            <w:r>
              <w:rPr>
                <w:rFonts w:hint="eastAsia" w:ascii="Times New Roman" w:hAnsi="Times New Roman" w:cs="宋体"/>
                <w:szCs w:val="11"/>
              </w:rPr>
              <w:t xml:space="preserve">6</w:t>
            </w:r>
            <w:r/>
          </w:p>
        </w:tc>
      </w:tr>
      <w:tr>
        <w:trPr/>
        <w:tc>
          <w:tcPr>
            <w:tcW w:w="704" w:type="dxa"/>
            <w:vAlign w:val="center"/>
            <w:textDirection w:val="lrTb"/>
            <w:noWrap w:val="false"/>
          </w:tcPr>
          <w:p>
            <w:pPr>
              <w:jc w:val="center"/>
              <w:rPr>
                <w:rFonts w:ascii="Times New Roman" w:hAnsi="Times New Roman"/>
                <w:szCs w:val="20"/>
              </w:rPr>
            </w:pPr>
            <w:r>
              <w:t xml:space="preserve">62</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55寸LCD拼接屏/液晶拼接监视屏（配套支架底座）</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w:t>
            </w:r>
            <w:r>
              <w:rPr>
                <w:rFonts w:hint="eastAsia" w:ascii="Times New Roman" w:hAnsi="Times New Roman" w:cs="宋体"/>
                <w:szCs w:val="11"/>
              </w:rPr>
              <w:t xml:space="preserve">1.LCD显示单元为：55寸超窄边液晶屏；单元物理拼缝≤3.5mm，物理分辨率达到1920×1080，对比度达到1000：1；LCD显示单元响应时间≤8ms，亮度达到500cd/㎡，图像显示清晰度达到1000TVL。</w:t>
            </w:r>
            <w:r/>
          </w:p>
          <w:p>
            <w:pPr>
              <w:rPr>
                <w:rFonts w:ascii="Times New Roman" w:hAnsi="Times New Roman" w:cs="宋体"/>
                <w:szCs w:val="11"/>
              </w:rPr>
            </w:pPr>
            <w:r>
              <w:rPr>
                <w:rFonts w:hint="eastAsia" w:ascii="Times New Roman" w:hAnsi="Times New Roman" w:cs="宋体"/>
                <w:bCs/>
                <w:iCs/>
                <w:szCs w:val="15"/>
              </w:rPr>
              <w:t xml:space="preserve">○2.</w:t>
            </w:r>
            <w:r>
              <w:rPr>
                <w:rFonts w:hint="eastAsia" w:ascii="Times New Roman" w:hAnsi="Times New Roman" w:cs="宋体"/>
                <w:szCs w:val="11"/>
              </w:rPr>
              <w:t xml:space="preserve">屏幕支持防灼烧功能，能够有效改善液晶长时间显示静态画面时造成的残影现象；拼接屏具备智能温控功能，当屏幕温度在55-60℃之间时，会提醒用户温度过高，请及时通风；当温度超过60℃，屏幕会立即进入休眠状态；等温度降至50℃以下会被唤醒或者通过遥控器主动唤醒；设备支持不断电待机功能，当无任何信号输入时，设备在规定时间内自动待机节能，当有信号接入时，设备能快速开机，正常显示。待机功耗低于0.5W。</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26</w:t>
            </w:r>
            <w:r/>
          </w:p>
        </w:tc>
      </w:tr>
      <w:tr>
        <w:trPr/>
        <w:tc>
          <w:tcPr>
            <w:tcW w:w="704" w:type="dxa"/>
            <w:vAlign w:val="center"/>
            <w:textDirection w:val="lrTb"/>
            <w:noWrap w:val="false"/>
          </w:tcPr>
          <w:p>
            <w:pPr>
              <w:jc w:val="center"/>
              <w:rPr>
                <w:rFonts w:ascii="Times New Roman" w:hAnsi="Times New Roman"/>
                <w:szCs w:val="20"/>
              </w:rPr>
            </w:pPr>
            <w:r>
              <w:t xml:space="preserve">63</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观摩室屏幕</w:t>
            </w:r>
            <w:r>
              <w:rPr>
                <w:rFonts w:hint="eastAsia" w:ascii="Times New Roman" w:hAnsi="Times New Roman" w:cs="宋体"/>
              </w:rPr>
              <w:t xml:space="preserve">（电视）</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○1.   </w:t>
            </w:r>
            <w:r>
              <w:rPr>
                <w:rFonts w:hint="eastAsia" w:ascii="Times New Roman" w:hAnsi="Times New Roman" w:cs="宋体"/>
                <w:szCs w:val="11"/>
              </w:rPr>
              <w:t xml:space="preserve">60英寸液晶屏幕；1080P；VGA\HDMI输入口；水平视角：170度；垂直视角170度。</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4</w:t>
            </w:r>
            <w:r/>
          </w:p>
        </w:tc>
      </w:tr>
      <w:tr>
        <w:trPr/>
        <w:tc>
          <w:tcPr>
            <w:tcW w:w="704" w:type="dxa"/>
            <w:vAlign w:val="center"/>
            <w:textDirection w:val="lrTb"/>
            <w:noWrap w:val="false"/>
          </w:tcPr>
          <w:p>
            <w:pPr>
              <w:jc w:val="center"/>
              <w:rPr>
                <w:rFonts w:ascii="Times New Roman" w:hAnsi="Times New Roman"/>
                <w:szCs w:val="20"/>
              </w:rPr>
            </w:pPr>
            <w:r>
              <w:t xml:space="preserve">64</w:t>
            </w:r>
            <w:r/>
          </w:p>
        </w:tc>
        <w:tc>
          <w:tcPr>
            <w:tcW w:w="1559"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4K液晶显示器</w:t>
            </w:r>
            <w:r/>
          </w:p>
        </w:tc>
        <w:tc>
          <w:tcPr>
            <w:tcW w:w="5245" w:type="dxa"/>
            <w:vAlign w:val="center"/>
            <w:textDirection w:val="lrTb"/>
            <w:noWrap w:val="false"/>
          </w:tcPr>
          <w:p>
            <w:pPr>
              <w:rPr>
                <w:rFonts w:ascii="Times New Roman" w:hAnsi="Times New Roman" w:cs="宋体"/>
                <w:szCs w:val="11"/>
              </w:rPr>
            </w:pPr>
            <w:r>
              <w:rPr>
                <w:rFonts w:hint="eastAsia" w:ascii="Times New Roman" w:hAnsi="Times New Roman" w:cs="宋体"/>
                <w:bCs/>
                <w:iCs/>
                <w:szCs w:val="15"/>
              </w:rPr>
              <w:t xml:space="preserve">○1.  </w:t>
            </w:r>
            <w:r>
              <w:rPr>
                <w:rFonts w:hint="eastAsia" w:ascii="Times New Roman" w:hAnsi="Times New Roman" w:cs="宋体"/>
                <w:szCs w:val="11"/>
              </w:rPr>
              <w:t xml:space="preserve">屏幕尺寸≥27英寸；分辨率≥3840×2160；亮度≥300cd/m²，支持亮度参数手动 / 自动调节；标配接口（满足通用办公 / 商用场景需求，无版本排他性要求）：≥1 路 HDMI 高清数字接口、≥1 路 DP 高清数字接口、≥1 路 USB 下行接口（支持外设拓展）；支持多信号源一键切换；支持亮度、对比度、色温等显示参数精细化调节；支持无信号自动待机节能、有信号自动唤醒功能；具备防残影功能，可有效改善静态画面长时间显示造成的残影问题。</w:t>
            </w:r>
            <w:r/>
          </w:p>
        </w:tc>
        <w:tc>
          <w:tcPr>
            <w:tcW w:w="738"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台</w:t>
            </w:r>
            <w:r/>
          </w:p>
        </w:tc>
        <w:tc>
          <w:tcPr>
            <w:tcW w:w="810" w:type="dxa"/>
            <w:vAlign w:val="center"/>
            <w:textDirection w:val="lrTb"/>
            <w:noWrap w:val="false"/>
          </w:tcPr>
          <w:p>
            <w:pPr>
              <w:jc w:val="center"/>
              <w:rPr>
                <w:rFonts w:ascii="Times New Roman" w:hAnsi="Times New Roman" w:cs="宋体"/>
                <w:szCs w:val="11"/>
              </w:rPr>
            </w:pPr>
            <w:r>
              <w:rPr>
                <w:rFonts w:hint="eastAsia" w:ascii="Times New Roman" w:hAnsi="Times New Roman" w:cs="宋体"/>
                <w:szCs w:val="11"/>
              </w:rPr>
              <w:t xml:space="preserve">2</w:t>
            </w:r>
            <w:r/>
          </w:p>
        </w:tc>
      </w:tr>
    </w:tbl>
    <w:p>
      <w:pPr>
        <w:spacing w:line="560" w:lineRule="exact"/>
        <w:rPr>
          <w:rFonts w:hint="eastAsia" w:ascii="宋体" w:hAnsi="宋体" w:cs="宋体"/>
          <w:sz w:val="24"/>
          <w:szCs w:val="20"/>
        </w:rPr>
      </w:pPr>
      <w:r>
        <w:rPr>
          <w:rFonts w:hint="eastAsia" w:ascii="宋体" w:hAnsi="宋体" w:cs="宋体"/>
          <w:sz w:val="24"/>
          <w:szCs w:val="20"/>
        </w:rPr>
      </w:r>
      <w:r/>
    </w:p>
    <w:p>
      <w:pPr>
        <w:ind w:firstLine="482"/>
        <w:spacing w:line="440" w:lineRule="exact"/>
        <w:rPr>
          <w:rFonts w:hint="eastAsia" w:ascii="宋体" w:hAnsi="宋体"/>
          <w:b/>
          <w:color w:val="ff0000"/>
          <w:sz w:val="24"/>
          <w:szCs w:val="21"/>
          <w:lang w:val="zh-CN"/>
        </w:rPr>
      </w:pPr>
      <w:r>
        <w:rPr>
          <w:rFonts w:hint="eastAsia" w:ascii="宋体" w:hAnsi="宋体" w:cs="宋体"/>
          <w:b/>
          <w:bCs/>
          <w:sz w:val="24"/>
          <w:szCs w:val="20"/>
        </w:rPr>
        <w:t xml:space="preserve">注：</w:t>
      </w:r>
      <w:r>
        <w:rPr>
          <w:rFonts w:hint="eastAsia" w:ascii="宋体" w:hAnsi="宋体"/>
          <w:b/>
          <w:sz w:val="24"/>
          <w:szCs w:val="21"/>
          <w:lang w:val="zh-CN"/>
        </w:rPr>
        <w:t xml:space="preserve">1.对照财库〔2019〕9号、财库〔2019〕19号文件规定，本</w:t>
      </w:r>
      <w:r>
        <w:rPr>
          <w:rFonts w:hint="eastAsia" w:ascii="宋体" w:hAnsi="宋体"/>
          <w:b/>
          <w:sz w:val="24"/>
          <w:szCs w:val="21"/>
          <w:lang w:val="en-US" w:eastAsia="zh-CN"/>
        </w:rPr>
        <w:t xml:space="preserve">采购包</w:t>
      </w:r>
      <w:r>
        <w:rPr>
          <w:rFonts w:hint="eastAsia" w:ascii="宋体" w:hAnsi="宋体"/>
          <w:b/>
          <w:sz w:val="24"/>
          <w:szCs w:val="21"/>
          <w:lang w:val="zh-CN"/>
        </w:rPr>
        <w:t xml:space="preserve">采购的</w:t>
      </w:r>
      <w:r>
        <w:rPr>
          <w:rFonts w:hint="eastAsia" w:ascii="宋体" w:hAnsi="宋体"/>
          <w:b/>
          <w:color w:val="ff0000"/>
          <w:sz w:val="24"/>
          <w:szCs w:val="21"/>
          <w:lang w:val="zh-CN"/>
        </w:rPr>
        <w:t xml:space="preserve">激光打印机、空调、返看屏幕（</w:t>
      </w:r>
      <w:r>
        <w:rPr>
          <w:rFonts w:hint="eastAsia" w:ascii="宋体" w:hAnsi="宋体"/>
          <w:b/>
          <w:color w:val="ff0000"/>
          <w:sz w:val="24"/>
          <w:szCs w:val="21"/>
        </w:rPr>
        <w:t xml:space="preserve">电视</w:t>
      </w:r>
      <w:r>
        <w:rPr>
          <w:rFonts w:hint="eastAsia" w:ascii="宋体" w:hAnsi="宋体"/>
          <w:b/>
          <w:color w:val="ff0000"/>
          <w:sz w:val="24"/>
          <w:szCs w:val="21"/>
          <w:lang w:val="zh-CN"/>
        </w:rPr>
        <w:t xml:space="preserve">）、液晶显示器、观摩室屏幕（</w:t>
      </w:r>
      <w:r>
        <w:rPr>
          <w:rFonts w:hint="eastAsia" w:ascii="宋体" w:hAnsi="宋体"/>
          <w:b/>
          <w:color w:val="ff0000"/>
          <w:sz w:val="24"/>
          <w:szCs w:val="21"/>
        </w:rPr>
        <w:t xml:space="preserve">电视</w:t>
      </w:r>
      <w:r>
        <w:rPr>
          <w:rFonts w:hint="eastAsia" w:ascii="宋体" w:hAnsi="宋体"/>
          <w:b/>
          <w:color w:val="ff0000"/>
          <w:sz w:val="24"/>
          <w:szCs w:val="21"/>
          <w:lang w:val="zh-CN"/>
        </w:rPr>
        <w:t xml:space="preserve">）、4K液晶显示器</w:t>
      </w:r>
      <w:r>
        <w:rPr>
          <w:rFonts w:hint="eastAsia" w:ascii="宋体" w:hAnsi="宋体"/>
          <w:b/>
          <w:sz w:val="24"/>
          <w:szCs w:val="21"/>
          <w:lang w:val="zh-CN"/>
        </w:rPr>
        <w:t xml:space="preserve">属于政府强制采购产品，应符合以下要求:针对所投产品，投标文件中提供国家市场监督管理总局确定的列入“参与实施政府采购节能产品认证机构名录”内的认证机构出具的、有效期内的该产品的节能产品认证证书电子件。</w:t>
      </w:r>
      <w:r>
        <w:rPr>
          <w:rFonts w:hint="eastAsia" w:ascii="宋体" w:hAnsi="宋体"/>
          <w:b/>
          <w:color w:val="ff0000"/>
          <w:sz w:val="24"/>
          <w:szCs w:val="21"/>
          <w:lang w:val="zh-CN"/>
        </w:rPr>
        <w:t xml:space="preserve">不满足要求的按无效标处理。</w:t>
      </w:r>
      <w:r/>
    </w:p>
    <w:p>
      <w:pPr>
        <w:ind w:firstLine="482"/>
        <w:spacing w:line="440" w:lineRule="exact"/>
        <w:rPr>
          <w:rFonts w:hint="eastAsia" w:ascii="宋体" w:hAnsi="宋体"/>
          <w:b/>
          <w:sz w:val="24"/>
          <w:szCs w:val="21"/>
        </w:rPr>
      </w:pPr>
      <w:r>
        <w:rPr>
          <w:rFonts w:hint="eastAsia" w:ascii="宋体" w:hAnsi="宋体"/>
          <w:b/>
          <w:sz w:val="24"/>
          <w:szCs w:val="21"/>
          <w:lang w:val="zh-CN"/>
        </w:rPr>
        <w:t xml:space="preserve">2.</w:t>
      </w:r>
      <w:r>
        <w:rPr>
          <w:rFonts w:hint="eastAsia" w:ascii="宋体" w:hAnsi="宋体"/>
          <w:b/>
          <w:sz w:val="24"/>
          <w:szCs w:val="21"/>
        </w:rPr>
        <w:t xml:space="preserve">投标人在投标报价时，应充分考虑施工过程中所需的全部辅材用量</w:t>
      </w:r>
      <w:r>
        <w:rPr>
          <w:rFonts w:hint="eastAsia" w:ascii="宋体" w:hAnsi="宋体"/>
          <w:b/>
          <w:sz w:val="24"/>
          <w:szCs w:val="21"/>
          <w:lang w:eastAsia="zh-CN"/>
        </w:rPr>
        <w:t xml:space="preserve">，</w:t>
      </w:r>
      <w:r>
        <w:rPr>
          <w:rFonts w:hint="eastAsia" w:ascii="宋体" w:hAnsi="宋体"/>
          <w:b/>
          <w:sz w:val="24"/>
          <w:szCs w:val="21"/>
        </w:rPr>
        <w:t xml:space="preserve">包括但不限于</w:t>
      </w:r>
      <w:r>
        <w:rPr>
          <w:rFonts w:hint="eastAsia" w:ascii="宋体" w:hAnsi="宋体"/>
          <w:b/>
          <w:sz w:val="24"/>
          <w:szCs w:val="21"/>
          <w:lang w:val="en-US" w:eastAsia="zh-CN"/>
        </w:rPr>
        <w:t xml:space="preserve">下表列出的辅材、</w:t>
      </w:r>
      <w:r>
        <w:rPr>
          <w:rFonts w:hint="eastAsia" w:ascii="宋体" w:hAnsi="宋体"/>
          <w:b/>
          <w:sz w:val="24"/>
          <w:szCs w:val="21"/>
        </w:rPr>
        <w:t xml:space="preserve">损耗、浪费及不可预见因素导致的额外需求。中标后，合同费用为固定总价，施工过程中辅材不足的，由投标人自行承担，由此产生的工期延误、质量影响及额外费用由中标人自行承担。</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387"/>
      </w:tblGrid>
      <w:tr>
        <w:trPr>
          <w:jc w:val="center"/>
        </w:trPr>
        <w:tc>
          <w:tcPr>
            <w:tcW w:w="1382" w:type="dxa"/>
            <w:vAlign w:val="center"/>
            <w:textDirection w:val="lrTb"/>
            <w:noWrap w:val="false"/>
          </w:tcPr>
          <w:p>
            <w:pPr>
              <w:jc w:val="center"/>
              <w:spacing w:line="440" w:lineRule="exact"/>
              <w:rPr>
                <w:rFonts w:hint="eastAsia" w:ascii="宋体" w:hAnsi="宋体"/>
                <w:b/>
                <w:sz w:val="24"/>
                <w:szCs w:val="21"/>
                <w:vertAlign w:val="baseline"/>
                <w:lang w:val="zh-CN"/>
              </w:rPr>
            </w:pPr>
            <w:r>
              <w:rPr>
                <w:rFonts w:hint="eastAsia" w:ascii="Times New Roman" w:hAnsi="Times New Roman" w:cs="宋体"/>
                <w:szCs w:val="11"/>
              </w:rPr>
              <w:t xml:space="preserve">辅材</w:t>
            </w:r>
            <w:r/>
          </w:p>
        </w:tc>
        <w:tc>
          <w:tcPr>
            <w:tcW w:w="7387" w:type="dxa"/>
            <w:textDirection w:val="lrTb"/>
            <w:noWrap w:val="false"/>
          </w:tcPr>
          <w:p>
            <w:pPr>
              <w:rPr>
                <w:rFonts w:hint="eastAsia" w:ascii="Times New Roman" w:hAnsi="Times New Roman" w:cs="宋体"/>
                <w:bCs/>
                <w:iCs/>
                <w:szCs w:val="15"/>
              </w:rPr>
            </w:pPr>
            <w:r>
              <w:rPr>
                <w:rFonts w:hint="eastAsia" w:ascii="Times New Roman" w:hAnsi="Times New Roman" w:cs="宋体"/>
                <w:bCs/>
                <w:iCs/>
                <w:szCs w:val="15"/>
                <w:lang w:val="en-US" w:eastAsia="zh-CN"/>
              </w:rPr>
              <w:t xml:space="preserve">1.</w:t>
            </w:r>
            <w:r>
              <w:rPr>
                <w:rFonts w:hint="eastAsia" w:ascii="Times New Roman" w:hAnsi="Times New Roman" w:cs="宋体"/>
                <w:bCs/>
                <w:iCs/>
                <w:szCs w:val="15"/>
              </w:rPr>
              <w:t xml:space="preserve">模拟话筒地插（内置卡侬*2）8只；</w:t>
            </w:r>
            <w:r>
              <w:rPr>
                <w:rFonts w:hint="eastAsia" w:ascii="Times New Roman" w:hAnsi="Times New Roman" w:cs="宋体"/>
                <w:bCs/>
                <w:iCs/>
                <w:szCs w:val="15"/>
                <w:lang w:val="en-US" w:eastAsia="zh-CN"/>
              </w:rPr>
              <w:t xml:space="preserve">2.</w:t>
            </w:r>
            <w:r>
              <w:rPr>
                <w:rFonts w:hint="eastAsia" w:ascii="Times New Roman" w:hAnsi="Times New Roman" w:cs="宋体"/>
                <w:bCs/>
                <w:iCs/>
                <w:szCs w:val="15"/>
              </w:rPr>
              <w:t xml:space="preserve">天线馈线（20米50欧成品线）6根；</w:t>
            </w:r>
            <w:r>
              <w:rPr>
                <w:rFonts w:hint="eastAsia" w:ascii="Times New Roman" w:hAnsi="Times New Roman" w:cs="宋体"/>
                <w:bCs/>
                <w:iCs/>
                <w:szCs w:val="15"/>
                <w:lang w:val="en-US" w:eastAsia="zh-CN"/>
              </w:rPr>
              <w:t xml:space="preserve">3.</w:t>
            </w:r>
            <w:r>
              <w:rPr>
                <w:rFonts w:hint="eastAsia" w:ascii="Times New Roman" w:hAnsi="Times New Roman" w:cs="宋体"/>
                <w:bCs/>
                <w:iCs/>
                <w:szCs w:val="15"/>
              </w:rPr>
              <w:t xml:space="preserve">天线馈线（30米50欧成品线）2根；</w:t>
            </w:r>
            <w:r>
              <w:rPr>
                <w:rFonts w:hint="eastAsia" w:ascii="Times New Roman" w:hAnsi="Times New Roman" w:cs="宋体"/>
                <w:bCs/>
                <w:iCs/>
                <w:szCs w:val="15"/>
                <w:lang w:val="en-US" w:eastAsia="zh-CN"/>
              </w:rPr>
              <w:t xml:space="preserve">4.</w:t>
            </w:r>
            <w:r>
              <w:rPr>
                <w:rFonts w:hint="eastAsia" w:ascii="Times New Roman" w:hAnsi="Times New Roman" w:cs="宋体"/>
                <w:bCs/>
                <w:iCs/>
                <w:szCs w:val="15"/>
              </w:rPr>
              <w:t xml:space="preserve">音箱地插（内置大四芯*2）4只；</w:t>
            </w:r>
            <w:r/>
          </w:p>
          <w:p>
            <w:pPr>
              <w:rPr>
                <w:rFonts w:hint="eastAsia" w:ascii="宋体" w:hAnsi="宋体" w:eastAsia="宋体"/>
                <w:b/>
                <w:sz w:val="24"/>
                <w:szCs w:val="21"/>
                <w:vertAlign w:val="baseline"/>
                <w:lang w:val="en-US" w:eastAsia="zh-CN"/>
              </w:rPr>
            </w:pPr>
            <w:r>
              <w:rPr>
                <w:rFonts w:hint="eastAsia" w:ascii="Times New Roman" w:hAnsi="Times New Roman" w:cs="宋体"/>
                <w:bCs/>
                <w:iCs/>
                <w:szCs w:val="15"/>
                <w:lang w:val="en-US" w:eastAsia="zh-CN"/>
              </w:rPr>
              <w:t xml:space="preserve">5</w:t>
            </w:r>
            <w:r>
              <w:rPr>
                <w:rFonts w:hint="eastAsia" w:ascii="Times New Roman" w:hAnsi="Times New Roman" w:cs="宋体"/>
                <w:bCs/>
                <w:iCs/>
                <w:szCs w:val="15"/>
              </w:rPr>
              <w:t xml:space="preserve">话筒支架（落地支架，立杆高度100-160㎝）4只</w:t>
            </w:r>
            <w:r>
              <w:rPr>
                <w:rFonts w:hint="eastAsia" w:ascii="Times New Roman" w:hAnsi="Times New Roman" w:cs="宋体"/>
                <w:bCs/>
                <w:iCs/>
                <w:szCs w:val="15"/>
                <w:lang w:val="en-US" w:eastAsia="zh-CN"/>
              </w:rPr>
              <w:t xml:space="preserve">等</w:t>
            </w:r>
            <w:r>
              <w:rPr>
                <w:rFonts w:hint="eastAsia" w:ascii="Times New Roman" w:hAnsi="Times New Roman" w:cs="宋体"/>
                <w:bCs/>
                <w:iCs/>
                <w:szCs w:val="15"/>
              </w:rPr>
              <w:t xml:space="preserve">。</w:t>
            </w:r>
            <w:r/>
          </w:p>
        </w:tc>
      </w:tr>
    </w:tbl>
    <w:p>
      <w:pPr>
        <w:ind w:firstLine="482"/>
        <w:spacing w:line="440" w:lineRule="exact"/>
        <w:rPr>
          <w:rFonts w:hint="eastAsia" w:ascii="宋体" w:hAnsi="宋体"/>
          <w:b/>
          <w:sz w:val="24"/>
          <w:szCs w:val="21"/>
          <w:lang w:val="zh-CN"/>
        </w:rPr>
      </w:pPr>
      <w:r>
        <w:rPr>
          <w:rFonts w:hint="eastAsia" w:ascii="宋体" w:hAnsi="宋体"/>
          <w:b/>
          <w:sz w:val="24"/>
          <w:szCs w:val="21"/>
          <w:lang w:val="zh-CN"/>
        </w:rPr>
      </w:r>
      <w:r/>
    </w:p>
    <w:p>
      <w:pPr>
        <w:ind w:firstLine="482"/>
        <w:spacing w:line="400" w:lineRule="exact"/>
        <w:rPr>
          <w:rFonts w:hint="eastAsia" w:ascii="宋体" w:hAnsi="宋体"/>
          <w:b/>
          <w:sz w:val="24"/>
          <w:szCs w:val="24"/>
        </w:rPr>
      </w:pPr>
      <w:r>
        <w:rPr>
          <w:rFonts w:hint="eastAsia" w:ascii="宋体" w:hAnsi="宋体"/>
          <w:b/>
          <w:sz w:val="24"/>
          <w:szCs w:val="24"/>
        </w:rPr>
        <w:t xml:space="preserve">三.商务要求（两个采购包均适用）</w:t>
      </w:r>
      <w:r/>
    </w:p>
    <w:p>
      <w:pPr>
        <w:ind w:firstLine="480"/>
        <w:spacing w:line="500" w:lineRule="exact"/>
        <w:rPr>
          <w:rFonts w:hint="eastAsia" w:ascii="宋体" w:hAnsi="宋体"/>
          <w:sz w:val="24"/>
          <w:szCs w:val="24"/>
        </w:rPr>
      </w:pPr>
      <w:r>
        <w:rPr>
          <w:rFonts w:hint="eastAsia" w:ascii="宋体" w:hAnsi="宋体"/>
          <w:sz w:val="24"/>
          <w:szCs w:val="24"/>
        </w:rPr>
        <w:t xml:space="preserve">（一）工期：2026年</w:t>
      </w:r>
      <w:r>
        <w:rPr>
          <w:rFonts w:hint="eastAsia" w:ascii="宋体" w:hAnsi="宋体"/>
          <w:sz w:val="24"/>
          <w:szCs w:val="24"/>
          <w:lang w:val="en-US" w:eastAsia="zh-CN"/>
        </w:rPr>
        <w:t xml:space="preserve">7</w:t>
      </w:r>
      <w:r>
        <w:rPr>
          <w:rFonts w:hint="eastAsia" w:ascii="宋体" w:hAnsi="宋体"/>
          <w:sz w:val="24"/>
          <w:szCs w:val="24"/>
        </w:rPr>
        <w:t xml:space="preserve">月30日前履行合同约定的全部事项；售后服务期：3年（自验收合格之日起计算）</w:t>
      </w:r>
      <w:r/>
    </w:p>
    <w:p>
      <w:pPr>
        <w:ind w:firstLine="480"/>
        <w:spacing w:line="500" w:lineRule="exact"/>
        <w:rPr>
          <w:rFonts w:hint="eastAsia" w:ascii="宋体" w:hAnsi="宋体"/>
          <w:sz w:val="24"/>
          <w:szCs w:val="24"/>
        </w:rPr>
      </w:pPr>
      <w:r>
        <w:rPr>
          <w:rFonts w:hint="eastAsia" w:ascii="宋体" w:hAnsi="宋体"/>
          <w:sz w:val="24"/>
          <w:szCs w:val="24"/>
        </w:rPr>
        <w:t xml:space="preserve">（二）付款方式</w:t>
      </w:r>
      <w:r/>
    </w:p>
    <w:p>
      <w:pPr>
        <w:ind w:firstLine="480"/>
        <w:spacing w:line="500" w:lineRule="exact"/>
        <w:rPr>
          <w:rFonts w:hint="eastAsia" w:ascii="宋体" w:hAnsi="宋体"/>
          <w:sz w:val="24"/>
          <w:szCs w:val="24"/>
        </w:rPr>
      </w:pPr>
      <w:r>
        <w:rPr>
          <w:rFonts w:hint="eastAsia" w:ascii="宋体" w:hAnsi="宋体"/>
          <w:sz w:val="24"/>
          <w:szCs w:val="24"/>
        </w:rPr>
        <w:t xml:space="preserve">预付款：签订合同后10日内支付合同总价款的30%；进度款：项目完成后经验收合格，付至合同价款的100%。</w:t>
      </w:r>
      <w:r/>
    </w:p>
    <w:p>
      <w:pPr>
        <w:ind w:firstLine="480"/>
        <w:spacing w:line="500" w:lineRule="exact"/>
        <w:rPr>
          <w:rFonts w:hint="eastAsia" w:ascii="宋体" w:hAnsi="宋体"/>
          <w:sz w:val="24"/>
          <w:szCs w:val="24"/>
        </w:rPr>
      </w:pPr>
      <w:r>
        <w:rPr>
          <w:rFonts w:hint="eastAsia" w:ascii="宋体" w:hAnsi="宋体"/>
          <w:sz w:val="24"/>
          <w:szCs w:val="24"/>
        </w:rPr>
        <w:t xml:space="preserve">注：1.在签订合同时，乙方明确表示无需预付款或者主动要求降低预付款比例的金额，甲方可不适用预付款规定。2.付款前，供应商应向采购人提供符合要求的发票，否则，采购人有权拒绝付款，同时不免除供应商合同履行义务。3.资金支付的主体：宿迁市楚润数据集团有限公司。</w:t>
      </w:r>
      <w:r/>
    </w:p>
    <w:p>
      <w:pPr>
        <w:ind w:firstLine="480"/>
        <w:spacing w:line="500" w:lineRule="exact"/>
        <w:rPr>
          <w:rFonts w:hint="eastAsia" w:ascii="宋体" w:hAnsi="宋体"/>
          <w:sz w:val="24"/>
          <w:szCs w:val="24"/>
        </w:rPr>
      </w:pPr>
      <w:r>
        <w:rPr>
          <w:rFonts w:hint="eastAsia" w:ascii="宋体" w:hAnsi="宋体"/>
          <w:sz w:val="24"/>
          <w:szCs w:val="24"/>
        </w:rPr>
        <w:t xml:space="preserve">（三）供货要求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合理安排各个环节的时间进度，确保在合同签订后规定时间内完成本项目。供货前，提供相关货物、设备的规格、颜色、外形等供采购人确认，否则造成的损失由中标人自行承担。负责投标设备安装并与学校建设的其他系统兼容。</w:t>
      </w:r>
      <w:r/>
    </w:p>
    <w:p>
      <w:pPr>
        <w:ind w:firstLine="480"/>
        <w:spacing w:line="500" w:lineRule="exact"/>
        <w:rPr>
          <w:rFonts w:hint="eastAsia" w:ascii="宋体" w:hAnsi="宋体"/>
          <w:sz w:val="24"/>
          <w:szCs w:val="24"/>
        </w:rPr>
      </w:pPr>
      <w:r>
        <w:rPr>
          <w:rFonts w:hint="eastAsia" w:ascii="宋体" w:hAnsi="宋体"/>
          <w:sz w:val="24"/>
          <w:szCs w:val="24"/>
        </w:rPr>
        <w:t xml:space="preserve">2.产品必须是正规厂家新品，不得使用已经淘汰或拼凑、组装的伪劣、假冒部件及产品。所有产品经采购人审验合格后方可进场，所有产品必须符合国家标准和环</w:t>
      </w:r>
      <w:r>
        <w:rPr>
          <w:rFonts w:hint="eastAsia" w:ascii="宋体" w:hAnsi="宋体"/>
          <w:sz w:val="24"/>
          <w:szCs w:val="24"/>
        </w:rPr>
        <w:t xml:space="preserve">保要求，不得以次充好。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采购人有权拒收货物。交货时必须提供主要产品生产厂家供货证明书。中标人所供货物若与投标文件上列明的货物型号、技术指标等不相符，有造假现象的，一经查出，采购人将报经财政监管部门终止合同，中标人承担由此给采购人带来的损失。</w:t>
      </w:r>
      <w:r/>
    </w:p>
    <w:p>
      <w:pPr>
        <w:ind w:firstLine="480"/>
        <w:spacing w:line="500" w:lineRule="exact"/>
        <w:rPr>
          <w:rFonts w:hint="eastAsia" w:ascii="宋体" w:hAnsi="宋体"/>
          <w:sz w:val="24"/>
          <w:szCs w:val="24"/>
        </w:rPr>
      </w:pPr>
      <w:r>
        <w:rPr>
          <w:rFonts w:hint="eastAsia" w:ascii="宋体" w:hAnsi="宋体"/>
          <w:sz w:val="24"/>
          <w:szCs w:val="24"/>
        </w:rPr>
        <w:t xml:space="preserve">3.在规定时间内按要求将货物运输至采购人指定的交货地点。零散及易损件须用木箱包装，确保防盗、防震、防潮、防破损，由于运输造成的设备损坏、丢失均由中标人负责处理。未按进度供货的，责任中标人自负。</w:t>
      </w:r>
      <w:r/>
    </w:p>
    <w:p>
      <w:pPr>
        <w:ind w:firstLine="480"/>
        <w:spacing w:line="500" w:lineRule="exact"/>
        <w:rPr>
          <w:rFonts w:hint="eastAsia" w:ascii="宋体" w:hAnsi="宋体"/>
          <w:sz w:val="24"/>
          <w:szCs w:val="24"/>
        </w:rPr>
      </w:pPr>
      <w:r>
        <w:rPr>
          <w:rFonts w:hint="eastAsia" w:ascii="宋体" w:hAnsi="宋体"/>
          <w:sz w:val="24"/>
          <w:szCs w:val="24"/>
        </w:rPr>
        <w:t xml:space="preserve">4.经采购人确认供货完成后，中标人应在规定时间内完成货物的安装、调试工作，对于安装、调试出现质量问题的，中标人应及时更换。</w:t>
      </w:r>
      <w:r/>
    </w:p>
    <w:p>
      <w:pPr>
        <w:ind w:firstLine="480"/>
        <w:spacing w:line="500" w:lineRule="exact"/>
        <w:rPr>
          <w:rFonts w:hint="eastAsia" w:ascii="宋体" w:hAnsi="宋体"/>
          <w:sz w:val="24"/>
          <w:szCs w:val="24"/>
        </w:rPr>
      </w:pPr>
      <w:r>
        <w:rPr>
          <w:rFonts w:hint="eastAsia" w:ascii="宋体" w:hAnsi="宋体"/>
          <w:sz w:val="24"/>
          <w:szCs w:val="24"/>
        </w:rPr>
        <w:t xml:space="preserve">5.环保检测、材料、成品及安装后室内所需的检测均由中标人负责。</w:t>
      </w:r>
      <w:r/>
    </w:p>
    <w:p>
      <w:pPr>
        <w:ind w:firstLine="480"/>
        <w:spacing w:line="500" w:lineRule="exact"/>
        <w:rPr>
          <w:rFonts w:hint="eastAsia" w:ascii="宋体" w:hAnsi="宋体"/>
          <w:sz w:val="24"/>
          <w:szCs w:val="24"/>
        </w:rPr>
      </w:pPr>
      <w:r>
        <w:rPr>
          <w:rFonts w:hint="eastAsia" w:ascii="宋体" w:hAnsi="宋体"/>
          <w:sz w:val="24"/>
          <w:szCs w:val="24"/>
        </w:rPr>
        <w:t xml:space="preserve">6.中标人应确保安全生产，并承担由此产生的安全问题。</w:t>
      </w:r>
      <w:r/>
    </w:p>
    <w:p>
      <w:pPr>
        <w:ind w:firstLine="480"/>
        <w:spacing w:line="500" w:lineRule="exact"/>
        <w:rPr>
          <w:rFonts w:hint="eastAsia" w:ascii="宋体" w:hAnsi="宋体"/>
          <w:sz w:val="24"/>
          <w:szCs w:val="24"/>
        </w:rPr>
      </w:pPr>
      <w:r>
        <w:rPr>
          <w:rFonts w:hint="eastAsia" w:ascii="宋体" w:hAnsi="宋体"/>
          <w:sz w:val="24"/>
          <w:szCs w:val="24"/>
        </w:rPr>
        <w:t xml:space="preserve">（四）验收标准</w:t>
      </w:r>
      <w:r/>
    </w:p>
    <w:p>
      <w:pPr>
        <w:spacing w:line="500" w:lineRule="exact"/>
        <w:rPr>
          <w:rFonts w:hint="eastAsia" w:ascii="宋体" w:hAnsi="宋体"/>
          <w:sz w:val="24"/>
          <w:szCs w:val="24"/>
        </w:rPr>
      </w:pPr>
      <w:r>
        <w:rPr>
          <w:rFonts w:hint="eastAsia" w:ascii="宋体" w:hAnsi="宋体"/>
          <w:sz w:val="24"/>
          <w:szCs w:val="24"/>
        </w:rPr>
        <w:t xml:space="preserve">由采购人按约定时间及条件组织履约验收。中标人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500" w:lineRule="exact"/>
        <w:rPr>
          <w:rFonts w:hint="eastAsia" w:ascii="宋体" w:hAnsi="宋体"/>
          <w:bCs/>
          <w:sz w:val="24"/>
          <w:szCs w:val="24"/>
        </w:rPr>
      </w:pPr>
      <w:r>
        <w:rPr>
          <w:rFonts w:hint="eastAsia" w:ascii="宋体" w:hAnsi="宋体"/>
          <w:bCs/>
          <w:sz w:val="24"/>
          <w:szCs w:val="24"/>
        </w:rPr>
        <w:t xml:space="preserve">1.在发货前，中标人应对该批次货物的质量、规格、性能、数量或重量等进行准确而全面的检验，并出具一份证明货物符合合同规定的检验合格证书，但该证书不应视为最终检验。检验的结果和细节应附在检验证书后面。</w:t>
      </w:r>
      <w:r/>
    </w:p>
    <w:p>
      <w:pPr>
        <w:ind w:firstLine="480"/>
        <w:spacing w:line="500" w:lineRule="exact"/>
        <w:rPr>
          <w:rFonts w:hint="eastAsia" w:ascii="宋体" w:hAnsi="宋体"/>
          <w:bCs/>
          <w:sz w:val="24"/>
          <w:szCs w:val="24"/>
        </w:rPr>
      </w:pPr>
      <w:r>
        <w:rPr>
          <w:rFonts w:hint="eastAsia" w:ascii="宋体" w:hAnsi="宋体"/>
          <w:bCs/>
          <w:sz w:val="24"/>
          <w:szCs w:val="24"/>
        </w:rPr>
        <w:t xml:space="preserve">2.货物交付后，在安装前应仔细检查货物自身无缺陷后方可安装，如果存在货物破损、自身材质、规格等质量缺陷，采购人有权要求将货物退场，由此引起的一切后果由中标人承担。</w:t>
      </w:r>
      <w:r/>
    </w:p>
    <w:p>
      <w:pPr>
        <w:ind w:firstLine="480"/>
        <w:spacing w:line="500" w:lineRule="exact"/>
        <w:rPr>
          <w:rFonts w:hint="eastAsia" w:ascii="宋体" w:hAnsi="宋体"/>
          <w:bCs/>
          <w:sz w:val="24"/>
          <w:szCs w:val="24"/>
        </w:rPr>
      </w:pPr>
      <w:r>
        <w:rPr>
          <w:rFonts w:hint="eastAsia" w:ascii="宋体" w:hAnsi="宋体"/>
          <w:bCs/>
          <w:sz w:val="24"/>
          <w:szCs w:val="24"/>
        </w:rPr>
        <w:t xml:space="preserve">3.货物进场后，中标人继续负责对货物的看管工作，如因看管不善所造成的一切损失由中标人承担，中标人准备好相关初步验收资料，验收内容包括：产地、货号、规格、数量、外观质量及货物包装是否完好。</w:t>
      </w:r>
      <w:r/>
    </w:p>
    <w:p>
      <w:pPr>
        <w:ind w:firstLine="480"/>
        <w:spacing w:line="500" w:lineRule="exact"/>
        <w:rPr>
          <w:rFonts w:hint="eastAsia" w:ascii="宋体" w:hAnsi="宋体"/>
          <w:bCs/>
          <w:sz w:val="24"/>
          <w:szCs w:val="24"/>
        </w:rPr>
      </w:pPr>
      <w:r>
        <w:rPr>
          <w:rFonts w:hint="eastAsia" w:ascii="宋体" w:hAnsi="宋体"/>
          <w:bCs/>
          <w:sz w:val="24"/>
          <w:szCs w:val="24"/>
        </w:rPr>
        <w:t xml:space="preserve">4.中标人货物全部进场安装调试，并提供相关初步验收资料后，采购人组织验收并出具验收报告。如果货物的质量、规格与合同规定不符，或在质量保证期内发现货物是有缺陷的（包括潜在缺陷或使用不符合要求的材料），采购人报请法定检验机构进行检测（检测费由中标人承担），有权凭其出具的检验报告向中标人提出索赔。</w:t>
      </w:r>
      <w:r/>
    </w:p>
    <w:p>
      <w:pPr>
        <w:ind w:firstLine="480"/>
        <w:spacing w:line="500" w:lineRule="exact"/>
        <w:rPr>
          <w:rFonts w:hint="eastAsia" w:ascii="宋体" w:hAnsi="宋体"/>
          <w:sz w:val="24"/>
          <w:szCs w:val="24"/>
        </w:rPr>
      </w:pPr>
      <w:r>
        <w:rPr>
          <w:rFonts w:hint="eastAsia" w:ascii="宋体" w:hAnsi="宋体"/>
          <w:sz w:val="24"/>
          <w:szCs w:val="24"/>
        </w:rPr>
        <w:t xml:space="preserve">（五）其他要求</w:t>
      </w:r>
      <w:r/>
    </w:p>
    <w:p>
      <w:pPr>
        <w:ind w:firstLine="480"/>
        <w:spacing w:line="500" w:lineRule="exact"/>
        <w:rPr>
          <w:rFonts w:hint="eastAsia" w:ascii="宋体" w:hAnsi="宋体"/>
          <w:sz w:val="24"/>
          <w:szCs w:val="24"/>
        </w:rPr>
      </w:pPr>
      <w:r>
        <w:rPr>
          <w:rFonts w:hint="eastAsia" w:ascii="宋体" w:hAnsi="宋体"/>
          <w:sz w:val="24"/>
          <w:szCs w:val="24"/>
        </w:rPr>
        <w:t xml:space="preserve">中标人所提供的技术说明文件应与货物相对应一致，并尽可能完整清晰，且应为原件。合同技术文件应与每批货物共同包装送交，费用应包含于货物的报价中。</w:t>
      </w:r>
      <w:r/>
    </w:p>
    <w:p>
      <w:pPr>
        <w:ind w:firstLine="480"/>
        <w:spacing w:line="500" w:lineRule="exact"/>
        <w:rPr>
          <w:rFonts w:hint="eastAsia" w:ascii="宋体" w:hAnsi="宋体"/>
          <w:sz w:val="24"/>
          <w:szCs w:val="24"/>
        </w:rPr>
      </w:pPr>
      <w:r>
        <w:rPr>
          <w:rFonts w:hint="eastAsia" w:ascii="宋体" w:hAnsi="宋体"/>
          <w:sz w:val="24"/>
          <w:szCs w:val="24"/>
        </w:rPr>
        <w:t xml:space="preserve">2.2货物的技术说明文件应为中文。文字应简单易懂。硬件的技术文件应附详尽图表以便安装和纠错指导。</w:t>
      </w:r>
      <w:r/>
    </w:p>
    <w:p>
      <w:pPr>
        <w:ind w:firstLine="480"/>
        <w:spacing w:line="500" w:lineRule="exact"/>
        <w:rPr>
          <w:rFonts w:hint="eastAsia" w:ascii="宋体" w:hAnsi="宋体"/>
          <w:sz w:val="24"/>
          <w:szCs w:val="24"/>
        </w:rPr>
      </w:pPr>
      <w:r>
        <w:rPr>
          <w:rFonts w:hint="eastAsia" w:ascii="宋体" w:hAnsi="宋体"/>
          <w:sz w:val="24"/>
          <w:szCs w:val="24"/>
        </w:rPr>
        <w:t xml:space="preserve">2.3技术手册应至少包括如下内容：相关硬件的安装指导、安装手册、使用说明书、设备保养、维护手册(包含错误诊断、测试程序)等；相关软件的安装指导。</w:t>
      </w:r>
      <w:r/>
    </w:p>
    <w:p>
      <w:pPr>
        <w:ind w:firstLine="482"/>
        <w:spacing w:line="400" w:lineRule="exact"/>
        <w:rPr>
          <w:rFonts w:hint="eastAsia" w:ascii="宋体" w:hAnsi="宋体"/>
          <w:b/>
          <w:sz w:val="24"/>
          <w:szCs w:val="24"/>
        </w:rPr>
      </w:pPr>
      <w:r>
        <w:rPr>
          <w:rFonts w:hint="eastAsia" w:ascii="宋体" w:hAnsi="宋体"/>
          <w:b/>
          <w:sz w:val="24"/>
          <w:szCs w:val="24"/>
        </w:rPr>
        <w:t xml:space="preserve">四、项目实施方案</w:t>
      </w:r>
      <w:r/>
    </w:p>
    <w:p>
      <w:pPr>
        <w:ind w:firstLine="480"/>
        <w:spacing w:line="500" w:lineRule="exact"/>
        <w:rPr>
          <w:rFonts w:hint="eastAsia" w:ascii="宋体" w:hAnsi="宋体"/>
          <w:sz w:val="24"/>
          <w:szCs w:val="24"/>
        </w:rPr>
      </w:pPr>
      <w:r>
        <w:rPr>
          <w:rFonts w:hint="eastAsia" w:ascii="宋体" w:hAnsi="宋体"/>
          <w:sz w:val="24"/>
          <w:szCs w:val="24"/>
        </w:rPr>
        <w:t xml:space="preserve">1.投标人应在投标文件中提供完备的项目供货方案、实施计划，包括进度安排、现场管理、配送方案等。</w:t>
      </w:r>
      <w:r/>
    </w:p>
    <w:p>
      <w:pPr>
        <w:ind w:firstLine="480"/>
        <w:spacing w:line="500" w:lineRule="exact"/>
        <w:rPr>
          <w:rFonts w:hint="eastAsia" w:ascii="宋体" w:hAnsi="宋体"/>
          <w:sz w:val="24"/>
          <w:szCs w:val="24"/>
        </w:rPr>
      </w:pPr>
      <w:r>
        <w:rPr>
          <w:rFonts w:hint="eastAsia" w:ascii="宋体" w:hAnsi="宋体"/>
          <w:sz w:val="24"/>
          <w:szCs w:val="24"/>
        </w:rPr>
        <w:t xml:space="preserve">2.进度安排要求：投标文件中需包含一份详尽的项目进度计划，有明确的时间节点和进度安排，展示项目各阶段的起止时间、关键过程等，且要充分考虑暑期暴雨及酷暑影响，避免影响工期。</w:t>
      </w:r>
      <w:r/>
    </w:p>
    <w:p>
      <w:pPr>
        <w:ind w:firstLine="480"/>
        <w:spacing w:line="500" w:lineRule="exact"/>
        <w:rPr>
          <w:rFonts w:hint="eastAsia" w:ascii="宋体" w:hAnsi="宋体"/>
          <w:sz w:val="24"/>
          <w:szCs w:val="24"/>
        </w:rPr>
      </w:pPr>
      <w:r>
        <w:rPr>
          <w:rFonts w:hint="eastAsia" w:ascii="宋体" w:hAnsi="宋体"/>
          <w:sz w:val="24"/>
          <w:szCs w:val="24"/>
        </w:rPr>
        <w:t xml:space="preserve">3.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spacing w:line="500" w:lineRule="exact"/>
        <w:rPr>
          <w:rFonts w:hint="eastAsia" w:ascii="宋体" w:hAnsi="宋体"/>
          <w:sz w:val="24"/>
          <w:szCs w:val="24"/>
        </w:rPr>
      </w:pPr>
      <w:r>
        <w:rPr>
          <w:rFonts w:hint="eastAsia" w:ascii="宋体" w:hAnsi="宋体"/>
          <w:sz w:val="24"/>
          <w:szCs w:val="24"/>
        </w:rPr>
        <w:t xml:space="preserve">4.配送要求：a.中标人在设备出厂前，应提供明细的设备清单交由采购人进行确认，包含设备名称、详细规格、材质、颜色等内容，由采购人确认后，方可进行供货；b.产品必须是正规厂家新品，不得以次充好；c.中标人负责货物的包装、保险、运输至业主指定的交货地点。零散及易损件需用木箱包装，确保防盗、防震、防潮、防破损、运输方式确定，并且由于运输造成的设备损坏，丢失均由中标人负责处理；d.中标人负责货物装卸车、就位、组装、调试等工作，保证交给采购人货物的完好性。</w:t>
      </w:r>
      <w:r/>
    </w:p>
    <w:p>
      <w:pPr>
        <w:ind w:firstLine="482"/>
        <w:spacing w:line="400" w:lineRule="exact"/>
        <w:rPr>
          <w:rFonts w:hint="eastAsia" w:ascii="宋体" w:hAnsi="宋体"/>
          <w:b/>
          <w:sz w:val="24"/>
          <w:szCs w:val="24"/>
        </w:rPr>
      </w:pPr>
      <w:r>
        <w:rPr>
          <w:rFonts w:hint="eastAsia" w:ascii="宋体" w:hAnsi="宋体"/>
          <w:b/>
          <w:sz w:val="24"/>
          <w:szCs w:val="24"/>
        </w:rPr>
        <w:t xml:space="preserve">五、质量保证方案</w:t>
      </w:r>
      <w:r/>
    </w:p>
    <w:p>
      <w:pPr>
        <w:ind w:firstLine="480"/>
        <w:spacing w:line="500" w:lineRule="exact"/>
        <w:rPr>
          <w:rFonts w:hint="eastAsia" w:ascii="宋体" w:hAnsi="宋体"/>
          <w:sz w:val="24"/>
          <w:szCs w:val="24"/>
        </w:rPr>
      </w:pPr>
      <w:r>
        <w:rPr>
          <w:rFonts w:hint="eastAsia" w:ascii="宋体" w:hAnsi="宋体"/>
          <w:sz w:val="24"/>
          <w:szCs w:val="24"/>
        </w:rPr>
        <w:t xml:space="preserve">1.质量保障措施：投标人应在投标文件中提出详细的产品生产质量管理计划，计划应包含质量控制措施、出厂检验标准以及测试程序。</w:t>
      </w:r>
      <w:r/>
    </w:p>
    <w:p>
      <w:pPr>
        <w:ind w:firstLine="480"/>
        <w:spacing w:line="500" w:lineRule="exact"/>
        <w:rPr>
          <w:rFonts w:hint="eastAsia" w:ascii="宋体" w:hAnsi="宋体"/>
          <w:sz w:val="24"/>
          <w:szCs w:val="24"/>
        </w:rPr>
      </w:pPr>
      <w:r>
        <w:rPr>
          <w:rFonts w:hint="eastAsia" w:ascii="宋体" w:hAnsi="宋体"/>
          <w:sz w:val="24"/>
          <w:szCs w:val="24"/>
        </w:rPr>
        <w:t xml:space="preserve">2.突发事件处置要求：投标人应充分考虑履约过程可能遇到的各种突发情况，有针对性地制订预防措施，需在投标文件中进行注意阐述，并建立一个明确的沟通框架，包括定期回访、问题解决机制及变更管理流程。</w:t>
      </w:r>
      <w:r/>
    </w:p>
    <w:p>
      <w:pPr>
        <w:ind w:firstLine="482"/>
        <w:spacing w:line="400" w:lineRule="exact"/>
        <w:rPr>
          <w:rFonts w:hint="eastAsia" w:ascii="宋体" w:hAnsi="宋体"/>
          <w:b/>
          <w:sz w:val="24"/>
          <w:szCs w:val="24"/>
        </w:rPr>
      </w:pPr>
      <w:r>
        <w:rPr>
          <w:rFonts w:hint="eastAsia" w:ascii="宋体" w:hAnsi="宋体"/>
          <w:b/>
          <w:sz w:val="24"/>
          <w:szCs w:val="24"/>
        </w:rPr>
        <w:t xml:space="preserve">六、培训要求</w:t>
      </w:r>
      <w:r/>
    </w:p>
    <w:p>
      <w:pPr>
        <w:ind w:firstLine="480"/>
        <w:spacing w:line="500" w:lineRule="exact"/>
        <w:rPr>
          <w:rFonts w:hint="eastAsia" w:ascii="宋体" w:hAnsi="宋体"/>
          <w:sz w:val="24"/>
          <w:szCs w:val="24"/>
        </w:rPr>
      </w:pPr>
      <w:r>
        <w:rPr>
          <w:rFonts w:hint="eastAsia" w:ascii="宋体" w:hAnsi="宋体"/>
          <w:sz w:val="24"/>
          <w:szCs w:val="24"/>
        </w:rPr>
        <w:t xml:space="preserve">中标人除提供所供全部设备的安装调试服务外，还需有完善的培训服务体系，保证使用方能掌握设备的正常使用及日常维护工作。</w:t>
      </w:r>
      <w:r/>
    </w:p>
    <w:p>
      <w:pPr>
        <w:ind w:firstLine="480"/>
        <w:spacing w:line="500" w:lineRule="exact"/>
        <w:rPr>
          <w:rFonts w:hint="eastAsia" w:ascii="宋体" w:hAnsi="宋体"/>
          <w:sz w:val="24"/>
          <w:szCs w:val="24"/>
        </w:rPr>
      </w:pPr>
      <w:r>
        <w:rPr>
          <w:rFonts w:hint="eastAsia" w:ascii="宋体" w:hAnsi="宋体"/>
          <w:sz w:val="24"/>
          <w:szCs w:val="24"/>
        </w:rPr>
        <w:t xml:space="preserve">1.培训内容：中标人应在软件及硬件方面为采购人的技术人员开设培训课程，使其能够掌握系统的运行、检查、维护工作。</w:t>
      </w:r>
      <w:r/>
    </w:p>
    <w:p>
      <w:pPr>
        <w:ind w:firstLine="480"/>
        <w:spacing w:line="500" w:lineRule="exact"/>
        <w:rPr>
          <w:rFonts w:hint="eastAsia" w:ascii="宋体" w:hAnsi="宋体"/>
          <w:sz w:val="24"/>
          <w:szCs w:val="24"/>
        </w:rPr>
      </w:pPr>
      <w:r>
        <w:rPr>
          <w:rFonts w:hint="eastAsia" w:ascii="宋体" w:hAnsi="宋体"/>
          <w:sz w:val="24"/>
          <w:szCs w:val="24"/>
        </w:rPr>
        <w:t xml:space="preserve">2.培训时间及人数：每年度提供2次培训服务，每次培训不低于10人次，每次不少于 4 小时。</w:t>
      </w:r>
      <w:r/>
    </w:p>
    <w:p>
      <w:pPr>
        <w:ind w:firstLine="480"/>
        <w:spacing w:line="500" w:lineRule="exact"/>
        <w:rPr>
          <w:rFonts w:hint="eastAsia" w:ascii="宋体" w:hAnsi="宋体"/>
          <w:sz w:val="24"/>
          <w:szCs w:val="24"/>
        </w:rPr>
      </w:pPr>
      <w:r>
        <w:rPr>
          <w:rFonts w:hint="eastAsia" w:ascii="宋体" w:hAnsi="宋体"/>
          <w:sz w:val="24"/>
          <w:szCs w:val="24"/>
        </w:rPr>
        <w:t xml:space="preserve">3.培训地点：由采购人指定，包括但不限于使用单位内。</w:t>
      </w:r>
      <w:r/>
    </w:p>
    <w:p>
      <w:pPr>
        <w:ind w:firstLine="480"/>
        <w:spacing w:line="500" w:lineRule="exact"/>
        <w:rPr>
          <w:rFonts w:hint="eastAsia" w:ascii="宋体" w:hAnsi="宋体"/>
          <w:sz w:val="24"/>
          <w:szCs w:val="24"/>
        </w:rPr>
      </w:pPr>
      <w:r>
        <w:rPr>
          <w:rFonts w:hint="eastAsia" w:ascii="宋体" w:hAnsi="宋体"/>
          <w:sz w:val="24"/>
          <w:szCs w:val="24"/>
        </w:rPr>
        <w:t xml:space="preserve">4.培训方法及目标：制定详细的培训计划。根据采购人的实际工作通过分角色、分流程、分系统进行全面培训，使各岗位相关人员（设备管理员、技术人员等）全面熟练掌握与自己工作相关的软件应用，确保日常工作的顺利完成。</w:t>
      </w:r>
      <w:r/>
    </w:p>
    <w:p>
      <w:pPr>
        <w:ind w:firstLine="480"/>
        <w:spacing w:line="500" w:lineRule="exact"/>
        <w:rPr>
          <w:rFonts w:hint="eastAsia" w:ascii="宋体" w:hAnsi="宋体"/>
          <w:sz w:val="24"/>
          <w:szCs w:val="24"/>
        </w:rPr>
      </w:pPr>
      <w:r>
        <w:rPr>
          <w:rFonts w:hint="eastAsia" w:ascii="宋体" w:hAnsi="宋体"/>
          <w:sz w:val="24"/>
          <w:szCs w:val="24"/>
        </w:rPr>
        <w:t xml:space="preserve">5.中标人应向接受培训人员提供技术资料、图纸、参考文献材料等。</w:t>
      </w:r>
      <w:r/>
    </w:p>
    <w:p>
      <w:pPr>
        <w:ind w:firstLine="480"/>
        <w:spacing w:line="500" w:lineRule="exact"/>
        <w:rPr>
          <w:rFonts w:hint="eastAsia" w:ascii="宋体" w:hAnsi="宋体"/>
          <w:sz w:val="24"/>
          <w:szCs w:val="24"/>
        </w:rPr>
      </w:pPr>
      <w:r>
        <w:rPr>
          <w:rFonts w:hint="eastAsia" w:ascii="宋体" w:hAnsi="宋体"/>
          <w:sz w:val="24"/>
          <w:szCs w:val="24"/>
        </w:rPr>
        <w:t xml:space="preserve">6.中标人负责培训产生的费用。</w:t>
      </w:r>
      <w:r/>
    </w:p>
    <w:p>
      <w:pPr>
        <w:ind w:firstLine="482"/>
        <w:spacing w:line="400" w:lineRule="exact"/>
        <w:rPr>
          <w:rFonts w:hint="eastAsia" w:ascii="宋体" w:hAnsi="宋体"/>
          <w:b/>
          <w:sz w:val="24"/>
          <w:szCs w:val="24"/>
        </w:rPr>
      </w:pPr>
      <w:r>
        <w:rPr>
          <w:rFonts w:hint="eastAsia" w:ascii="宋体" w:hAnsi="宋体"/>
          <w:b/>
          <w:sz w:val="24"/>
          <w:szCs w:val="24"/>
        </w:rPr>
        <w:t xml:space="preserve">七、项目团队</w:t>
      </w:r>
      <w:r/>
    </w:p>
    <w:p>
      <w:pPr>
        <w:ind w:firstLine="480"/>
        <w:spacing w:line="500" w:lineRule="exact"/>
        <w:rPr>
          <w:rFonts w:hint="eastAsia" w:ascii="宋体" w:hAnsi="宋体"/>
          <w:sz w:val="24"/>
          <w:szCs w:val="24"/>
        </w:rPr>
      </w:pPr>
      <w:r>
        <w:rPr>
          <w:rFonts w:hint="eastAsia" w:ascii="宋体" w:hAnsi="宋体"/>
          <w:sz w:val="24"/>
          <w:szCs w:val="24"/>
        </w:rPr>
        <w:t xml:space="preserve">针对本项目配备项目经理1名及技术负责人1名（项目经理不得兼任技术负责人），此外，配备不少于4人的项目组成员。</w:t>
      </w:r>
      <w:r/>
    </w:p>
    <w:p>
      <w:pPr>
        <w:ind w:firstLine="482"/>
        <w:spacing w:line="400" w:lineRule="exact"/>
        <w:rPr>
          <w:rFonts w:hint="eastAsia" w:ascii="宋体" w:hAnsi="宋体"/>
          <w:b/>
          <w:sz w:val="24"/>
          <w:szCs w:val="24"/>
        </w:rPr>
      </w:pPr>
      <w:r>
        <w:rPr>
          <w:rFonts w:hint="eastAsia" w:ascii="宋体" w:hAnsi="宋体"/>
          <w:b/>
          <w:sz w:val="24"/>
          <w:szCs w:val="24"/>
        </w:rPr>
        <w:t xml:space="preserve">八、售后服务要求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1.中标人对所售出的产品实行三包：即产品在正常使用情况下发生质量问题时，供方应按使用方的要求，负责对产品实行包修、包换、包退（费用包含在本次报价中）。</w:t>
      </w:r>
      <w:r/>
    </w:p>
    <w:p>
      <w:pPr>
        <w:ind w:firstLine="480"/>
        <w:spacing w:line="500" w:lineRule="exact"/>
        <w:rPr>
          <w:rFonts w:hint="eastAsia" w:ascii="宋体" w:hAnsi="宋体"/>
          <w:sz w:val="24"/>
          <w:szCs w:val="24"/>
        </w:rPr>
      </w:pPr>
      <w:r>
        <w:rPr>
          <w:rFonts w:hint="eastAsia" w:ascii="宋体" w:hAnsi="宋体"/>
          <w:sz w:val="24"/>
          <w:szCs w:val="24"/>
        </w:rPr>
        <w:t xml:space="preserve">2.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ind w:firstLine="480"/>
        <w:spacing w:line="500" w:lineRule="exact"/>
        <w:rPr>
          <w:rFonts w:hint="eastAsia" w:ascii="宋体" w:hAnsi="宋体"/>
          <w:sz w:val="24"/>
          <w:szCs w:val="24"/>
        </w:rPr>
      </w:pPr>
      <w:r>
        <w:rPr>
          <w:rFonts w:hint="eastAsia" w:ascii="宋体" w:hAnsi="宋体"/>
          <w:sz w:val="24"/>
          <w:szCs w:val="24"/>
        </w:rPr>
        <w:t xml:space="preserve">3.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在2个工作日内解决。采购人不承担所产生的任何费用。</w:t>
      </w:r>
      <w:r/>
    </w:p>
    <w:p>
      <w:pPr>
        <w:ind w:firstLine="482"/>
        <w:spacing w:line="400" w:lineRule="exact"/>
        <w:rPr>
          <w:rFonts w:hint="eastAsia" w:ascii="宋体" w:hAnsi="宋体"/>
          <w:b/>
          <w:sz w:val="24"/>
          <w:szCs w:val="24"/>
        </w:rPr>
      </w:pPr>
      <w:r>
        <w:rPr>
          <w:rFonts w:hint="eastAsia" w:ascii="宋体" w:hAnsi="宋体"/>
          <w:b/>
          <w:sz w:val="24"/>
          <w:szCs w:val="24"/>
        </w:rPr>
        <w:t xml:space="preserve">九、报价要求</w:t>
      </w:r>
      <w:r/>
    </w:p>
    <w:p>
      <w:pPr>
        <w:ind w:firstLine="480"/>
        <w:spacing w:line="500" w:lineRule="exact"/>
        <w:rPr>
          <w:rFonts w:hint="eastAsia" w:ascii="宋体" w:hAnsi="宋体"/>
          <w:sz w:val="24"/>
          <w:szCs w:val="24"/>
        </w:rPr>
      </w:pPr>
      <w:r>
        <w:rPr>
          <w:rFonts w:hint="eastAsia" w:ascii="宋体" w:hAnsi="宋体"/>
          <w:sz w:val="24"/>
          <w:szCs w:val="24"/>
        </w:rPr>
        <w:t xml:space="preserve">1.投标报价内容包括：人员成本、全部管理和服务的费用（指完成该服务项目所需的固定资产投入、软硬件投入、可能涉及的施工改造费用、办公费、培训费、计提工会费、交通工具、材料费、维保费、合理利润、税收等相关的所有费用。</w:t>
      </w:r>
      <w:r/>
    </w:p>
    <w:p>
      <w:pPr>
        <w:ind w:firstLine="480"/>
        <w:spacing w:line="500" w:lineRule="exact"/>
        <w:rPr>
          <w:rFonts w:hint="eastAsia" w:ascii="宋体" w:hAnsi="宋体"/>
          <w:sz w:val="24"/>
          <w:szCs w:val="24"/>
        </w:rPr>
      </w:pPr>
      <w:r>
        <w:rPr>
          <w:rFonts w:hint="eastAsia" w:ascii="宋体" w:hAnsi="宋体"/>
          <w:sz w:val="24"/>
          <w:szCs w:val="24"/>
        </w:rPr>
        <w:t xml:space="preserve">2.招标人不统一组织勘察现场，投标人自行踏勘了解本项目的具体情况，如货物安装的具体位置，设备装卸的行进路线、运输、储存空间、装卸限制、垃圾清理外运及一切可能影响到正常货物安装的因素；如功能室水电走向，与水电图纸比对，根据现场现有条件改造，根据现场可能涉及的开槽、打孔、布管布线、修复等相关施工费用均包含在报价中，后期不应此增项。</w:t>
      </w:r>
      <w:r/>
    </w:p>
    <w:p>
      <w:pPr>
        <w:ind w:firstLine="482"/>
        <w:spacing w:line="400" w:lineRule="exact"/>
        <w:rPr>
          <w:rFonts w:hint="eastAsia" w:ascii="宋体" w:hAnsi="宋体"/>
          <w:b/>
          <w:sz w:val="24"/>
          <w:szCs w:val="24"/>
        </w:rPr>
      </w:pPr>
      <w:r>
        <w:rPr>
          <w:rFonts w:hint="eastAsia" w:ascii="宋体" w:hAnsi="宋体"/>
          <w:b/>
          <w:sz w:val="24"/>
          <w:szCs w:val="24"/>
        </w:rPr>
        <w:t xml:space="preserve">十、商品包装环保要求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1、商品包装层数不得超过 3 层，空隙率不大于40%； </w:t>
      </w:r>
      <w:r/>
    </w:p>
    <w:p>
      <w:pPr>
        <w:ind w:firstLine="480"/>
        <w:spacing w:line="500" w:lineRule="exact"/>
        <w:rPr>
          <w:rFonts w:hint="eastAsia" w:ascii="宋体" w:hAnsi="宋体"/>
          <w:sz w:val="24"/>
          <w:szCs w:val="24"/>
        </w:rPr>
      </w:pPr>
      <w:r>
        <w:rPr>
          <w:rFonts w:hint="eastAsia" w:ascii="宋体" w:hAnsi="宋体"/>
          <w:sz w:val="24"/>
          <w:szCs w:val="24"/>
        </w:rPr>
        <w:t xml:space="preserve">2、商品包装尽可能使用单一材质的包装材料，如因功能 需求必需使用不同材质，不同材质间应便于分离； </w:t>
      </w:r>
      <w:r/>
    </w:p>
    <w:p>
      <w:pPr>
        <w:ind w:firstLine="480"/>
        <w:spacing w:line="500" w:lineRule="exact"/>
        <w:rPr>
          <w:rFonts w:hint="eastAsia" w:ascii="宋体" w:hAnsi="宋体"/>
          <w:sz w:val="24"/>
          <w:szCs w:val="24"/>
        </w:rPr>
      </w:pPr>
      <w:r>
        <w:rPr>
          <w:rFonts w:hint="eastAsia" w:ascii="宋体" w:hAnsi="宋体"/>
          <w:sz w:val="24"/>
          <w:szCs w:val="24"/>
        </w:rPr>
        <w:t xml:space="preserve">3、商品包装中铅、汞、镉、六价铬的总含量应不大于 100mg/kg； </w:t>
      </w:r>
      <w:r/>
    </w:p>
    <w:p>
      <w:pPr>
        <w:ind w:firstLine="480"/>
        <w:spacing w:line="500" w:lineRule="exact"/>
        <w:rPr>
          <w:rFonts w:hint="eastAsia"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ind w:firstLine="480"/>
        <w:spacing w:line="5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ind w:firstLine="480"/>
        <w:spacing w:line="500" w:lineRule="exact"/>
        <w:rPr>
          <w:rFonts w:hint="eastAsia" w:ascii="宋体" w:hAnsi="宋体"/>
          <w:sz w:val="24"/>
          <w:szCs w:val="24"/>
        </w:rPr>
      </w:pPr>
      <w:r>
        <w:rPr>
          <w:rFonts w:hint="eastAsia" w:ascii="宋体" w:hAnsi="宋体"/>
          <w:sz w:val="24"/>
          <w:szCs w:val="24"/>
        </w:rPr>
        <w:t xml:space="preserve">6、纸质商品包装应使用 75%以上的可再生纤维原料生产； </w:t>
      </w:r>
      <w:r/>
    </w:p>
    <w:p>
      <w:pPr>
        <w:ind w:firstLine="480"/>
        <w:spacing w:line="5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ind w:firstLine="480"/>
        <w:spacing w:line="500" w:lineRule="exact"/>
        <w:rPr>
          <w:rFonts w:hint="eastAsia"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ind w:firstLine="482"/>
        <w:spacing w:line="400" w:lineRule="exact"/>
        <w:rPr>
          <w:rFonts w:hint="eastAsia" w:ascii="宋体" w:hAnsi="宋体"/>
          <w:b/>
          <w:sz w:val="24"/>
          <w:szCs w:val="24"/>
        </w:rPr>
      </w:pPr>
      <w:r>
        <w:rPr>
          <w:rFonts w:hint="eastAsia" w:ascii="宋体" w:hAnsi="宋体"/>
          <w:b/>
          <w:sz w:val="24"/>
          <w:szCs w:val="24"/>
        </w:rPr>
        <w:t xml:space="preserve">十一、快递包装环保要求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5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ind w:firstLine="480"/>
        <w:spacing w:line="5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7、快递中使用的集装袋应为单一材质制成，其重复使用次数应不小于80 次；</w:t>
      </w:r>
      <w:r/>
    </w:p>
    <w:p>
      <w:pPr>
        <w:ind w:firstLine="480"/>
        <w:spacing w:line="50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ind w:firstLine="480"/>
        <w:spacing w:line="50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500" w:lineRule="exact"/>
        <w:rPr>
          <w:rFonts w:hint="eastAsia" w:ascii="宋体" w:hAnsi="宋体"/>
          <w:sz w:val="24"/>
          <w:szCs w:val="24"/>
        </w:rPr>
      </w:pPr>
      <w:r>
        <w:rPr>
          <w:rFonts w:hint="eastAsia" w:ascii="宋体" w:hAnsi="宋体"/>
          <w:sz w:val="24"/>
          <w:szCs w:val="24"/>
        </w:rPr>
        <w:t xml:space="preserve">10、快递应使用电子面单；</w:t>
      </w:r>
      <w:r/>
    </w:p>
    <w:p>
      <w:pPr>
        <w:ind w:firstLine="480"/>
        <w:spacing w:line="5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hint="eastAsia" w:ascii="宋体" w:hAnsi="宋体"/>
          <w:sz w:val="24"/>
          <w:szCs w:val="24"/>
        </w:rPr>
      </w:pPr>
      <w:r>
        <w:rPr>
          <w:rFonts w:hint="eastAsia" w:ascii="宋体" w:hAnsi="宋体"/>
          <w:sz w:val="24"/>
          <w:szCs w:val="24"/>
        </w:rPr>
        <w:t xml:space="preserve">12、快递包装产品质量和封装方式应符合相关国家或行业标准技术指标要求。</w:t>
      </w:r>
      <w:r/>
    </w:p>
    <w:p>
      <w:pPr>
        <w:pStyle w:val="781"/>
        <w:jc w:val="center"/>
        <w:spacing w:before="200"/>
        <w:rPr>
          <w:rFonts w:ascii="Calibri" w:hAnsi="Calibri" w:eastAsia="宋体" w:cs="Times New Roman"/>
          <w:b/>
          <w:sz w:val="44"/>
          <w:szCs w:val="44"/>
        </w:rPr>
      </w:pPr>
      <w:r>
        <w:rPr>
          <w:rFonts w:hint="eastAsia" w:ascii="宋体" w:hAnsi="宋体"/>
          <w:sz w:val="24"/>
          <w:szCs w:val="24"/>
        </w:rPr>
        <w:br w:type="page" w:clear="all"/>
      </w:r>
      <w:bookmarkStart w:id="130" w:name="_Toc81575206"/>
      <w:r/>
      <w:bookmarkStart w:id="131" w:name="_Toc19774"/>
      <w:r/>
      <w:bookmarkStart w:id="132" w:name="_Toc31499"/>
      <w:r/>
      <w:bookmarkStart w:id="133" w:name="_Toc22098"/>
      <w:r/>
      <w:bookmarkStart w:id="134" w:name="_Toc81575169"/>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30"/>
      <w:r/>
      <w:bookmarkEnd w:id="131"/>
      <w:r/>
      <w:bookmarkEnd w:id="132"/>
      <w:r/>
      <w:bookmarkEnd w:id="133"/>
      <w:r/>
      <w:bookmarkEnd w:id="134"/>
      <w:r/>
      <w:bookmarkStart w:id="135" w:name="_Toc16938559"/>
      <w:r/>
      <w:bookmarkEnd w:id="135"/>
      <w:r/>
      <w:bookmarkStart w:id="136" w:name="_Toc513029243"/>
      <w:r/>
      <w:bookmarkEnd w:id="136"/>
      <w:r/>
      <w:bookmarkStart w:id="137" w:name="_Toc20823315"/>
      <w:r/>
      <w:bookmarkEnd w:id="137"/>
      <w:r/>
      <w:r/>
    </w:p>
    <w:p>
      <w:pPr>
        <w:jc w:val="center"/>
        <w:spacing w:line="278" w:lineRule="auto"/>
        <w:rPr>
          <w:rFonts w:hint="eastAsia" w:ascii="宋体" w:hAnsi="宋体" w:cs="宋体"/>
          <w:b/>
          <w:bCs/>
          <w:spacing w:val="-20"/>
          <w:sz w:val="48"/>
          <w:szCs w:val="48"/>
        </w:rPr>
      </w:pPr>
      <w:r/>
      <w:bookmarkStart w:id="138" w:name="_Toc3995"/>
      <w:r/>
      <w:bookmarkStart w:id="139" w:name="_Toc22853"/>
      <w:r/>
      <w:bookmarkStart w:id="140" w:name="_Toc9003"/>
      <w:r/>
      <w:bookmarkStart w:id="141" w:name="_Toc19649"/>
      <w:r/>
      <w:bookmarkStart w:id="142" w:name="_Toc81575170"/>
      <w:r/>
      <w:bookmarkStart w:id="143" w:name="_Toc21933"/>
      <w:r/>
      <w:bookmarkStart w:id="144" w:name="_Toc81575207"/>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（草案）</w:t>
      </w:r>
      <w:r/>
    </w:p>
    <w:p>
      <w:pPr>
        <w:spacing w:after="160"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after="160"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after="160"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after="160" w:line="360" w:lineRule="auto"/>
        <w:rPr>
          <w:rFonts w:ascii="Times New Roman" w:hAnsi="Times New Roman"/>
          <w:sz w:val="32"/>
          <w:szCs w:val="32"/>
        </w:rPr>
      </w:pPr>
      <w:r>
        <w:rPr>
          <w:rFonts w:hint="eastAsia" w:ascii="宋体" w:hAnsi="宋体" w:cs="宋体"/>
          <w:sz w:val="32"/>
          <w:szCs w:val="32"/>
        </w:rPr>
        <w:t xml:space="preserve">项目名称：</w:t>
      </w:r>
      <w:r>
        <w:rPr>
          <w:rFonts w:hint="eastAsia" w:ascii="Times New Roman" w:hAnsi="Times New Roman"/>
          <w:sz w:val="32"/>
          <w:szCs w:val="32"/>
          <w:u w:val="single"/>
        </w:rPr>
        <w:t xml:space="preserve">                             </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hint="eastAsia" w:ascii="Times New Roman" w:hAnsi="Times New Roman"/>
          <w:sz w:val="32"/>
          <w:szCs w:val="32"/>
          <w:u w:val="single"/>
        </w:rPr>
        <w:t xml:space="preserve">                             </w:t>
      </w:r>
      <w:r/>
    </w:p>
    <w:p>
      <w:pPr>
        <w:ind w:left="420"/>
        <w:spacing w:after="160" w:line="360" w:lineRule="auto"/>
        <w:rPr>
          <w:rFonts w:ascii="Times New Roman" w:hAnsi="Times New Roman"/>
          <w:sz w:val="32"/>
          <w:szCs w:val="32"/>
        </w:rPr>
      </w:pPr>
      <w:r>
        <w:rPr>
          <w:rFonts w:hint="eastAsia" w:ascii="Times New Roman" w:hAnsi="Times New Roman"/>
          <w:sz w:val="32"/>
          <w:szCs w:val="32"/>
        </w:rPr>
        <w:t xml:space="preserve">甲    方：</w:t>
      </w:r>
      <w:r>
        <w:rPr>
          <w:rFonts w:hint="eastAsia" w:ascii="Times New Roman" w:hAnsi="Times New Roman"/>
          <w:sz w:val="32"/>
          <w:szCs w:val="32"/>
          <w:u w:val="single"/>
        </w:rPr>
        <w:t xml:space="preserve">                             </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乙    方：</w:t>
      </w:r>
      <w:r>
        <w:rPr>
          <w:rFonts w:hint="eastAsia" w:ascii="Times New Roman" w:hAnsi="Times New Roman"/>
          <w:sz w:val="32"/>
          <w:szCs w:val="32"/>
          <w:u w:val="single"/>
        </w:rPr>
        <w:t xml:space="preserve">                             </w:t>
      </w:r>
      <w:r/>
    </w:p>
    <w:p>
      <w:pPr>
        <w:ind w:left="420"/>
        <w:spacing w:after="160" w:line="360" w:lineRule="auto"/>
        <w:rPr>
          <w:rFonts w:ascii="Times New Roman" w:hAnsi="Times New Roman"/>
          <w:sz w:val="32"/>
          <w:szCs w:val="32"/>
        </w:rPr>
      </w:pPr>
      <w:r>
        <w:rPr>
          <w:rFonts w:hint="eastAsia" w:ascii="Times New Roman" w:hAnsi="Times New Roman"/>
          <w:sz w:val="32"/>
          <w:szCs w:val="32"/>
        </w:rPr>
        <w:t xml:space="preserve">签订时间：</w:t>
      </w:r>
      <w:r>
        <w:rPr>
          <w:rFonts w:hint="eastAsia" w:ascii="Times New Roman" w:hAnsi="Times New Roman"/>
          <w:sz w:val="32"/>
          <w:szCs w:val="32"/>
          <w:u w:val="single"/>
        </w:rPr>
        <w:t xml:space="preserve">      </w:t>
      </w:r>
      <w:r>
        <w:rPr>
          <w:rFonts w:ascii="Times New Roman" w:hAnsi="Times New Roman"/>
          <w:sz w:val="32"/>
          <w:szCs w:val="32"/>
          <w:u w:val="single"/>
        </w:rPr>
        <w:t xml:space="preserve">           </w:t>
      </w:r>
      <w:r>
        <w:rPr>
          <w:rFonts w:hint="eastAsia" w:ascii="Times New Roman" w:hAnsi="Times New Roman"/>
          <w:sz w:val="32"/>
          <w:szCs w:val="32"/>
          <w:u w:val="single"/>
        </w:rPr>
        <w:t xml:space="preserve">            </w:t>
      </w:r>
      <w:r/>
    </w:p>
    <w:p>
      <w:pPr>
        <w:spacing w:after="160" w:line="278" w:lineRule="auto"/>
        <w:rPr>
          <w:rFonts w:ascii="Times New Roman" w:hAnsi="Times New Roman"/>
          <w:szCs w:val="24"/>
        </w:rPr>
      </w:pPr>
      <w:r>
        <w:rPr>
          <w:rFonts w:ascii="Times New Roman" w:hAnsi="Times New Roman"/>
          <w:szCs w:val="24"/>
        </w:rPr>
      </w:r>
      <w:r/>
    </w:p>
    <w:p>
      <w:pPr>
        <w:spacing w:after="160" w:line="278" w:lineRule="auto"/>
        <w:rPr>
          <w:rFonts w:ascii="Times New Roman" w:hAnsi="Times New Roman" w:eastAsia="黑体"/>
          <w:sz w:val="44"/>
          <w:szCs w:val="44"/>
        </w:rPr>
      </w:pPr>
      <w:r>
        <w:rPr>
          <w:rFonts w:ascii="Times New Roman" w:hAnsi="Times New Roman" w:eastAsia="黑体"/>
          <w:sz w:val="44"/>
          <w:szCs w:val="44"/>
        </w:rPr>
        <w:br w:type="page" w:clear="all"/>
      </w:r>
      <w:r/>
    </w:p>
    <w:p>
      <w:pPr>
        <w:spacing w:after="160" w:line="278" w:lineRule="auto"/>
        <w:rPr>
          <w:rFonts w:ascii="Times New Roman" w:hAnsi="Times New Roman" w:eastAsia="黑体"/>
          <w:sz w:val="44"/>
          <w:szCs w:val="44"/>
        </w:rPr>
      </w:pPr>
      <w:r>
        <w:rPr>
          <w:rFonts w:ascii="Times New Roman" w:hAnsi="Times New Roman" w:eastAsia="黑体"/>
          <w:sz w:val="44"/>
          <w:szCs w:val="44"/>
        </w:rPr>
      </w:r>
      <w:r/>
    </w:p>
    <w:p>
      <w:pPr>
        <w:spacing w:after="160" w:line="278" w:lineRule="auto"/>
        <w:rPr>
          <w:rFonts w:ascii="Times New Roman" w:hAnsi="Times New Roman" w:eastAsia="黑体"/>
          <w:sz w:val="44"/>
          <w:szCs w:val="44"/>
        </w:rPr>
      </w:pPr>
      <w:r>
        <w:rPr>
          <w:rFonts w:ascii="Times New Roman" w:hAnsi="Times New Roman" w:eastAsia="黑体"/>
          <w:sz w:val="44"/>
          <w:szCs w:val="44"/>
        </w:rPr>
      </w:r>
      <w:r/>
    </w:p>
    <w:p>
      <w:pPr>
        <w:jc w:val="center"/>
        <w:spacing w:after="160" w:line="278" w:lineRule="auto"/>
        <w:rPr>
          <w:rFonts w:ascii="Times New Roman" w:hAnsi="Times New Roman" w:eastAsia="黑体"/>
          <w:sz w:val="44"/>
          <w:szCs w:val="44"/>
        </w:rPr>
      </w:pPr>
      <w:r>
        <w:rPr>
          <w:rFonts w:hint="eastAsia" w:ascii="Times New Roman" w:hAnsi="Times New Roman" w:eastAsia="黑体"/>
          <w:sz w:val="44"/>
          <w:szCs w:val="44"/>
        </w:rPr>
        <w:t xml:space="preserve">使 用 说 明</w:t>
      </w:r>
      <w:r/>
    </w:p>
    <w:p>
      <w:pPr>
        <w:ind w:firstLine="640"/>
        <w:spacing w:after="160" w:line="278"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spacing w:after="160" w:line="278"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rPr>
      </w:pPr>
      <w:r>
        <w:rPr>
          <w:rFonts w:hint="eastAsia" w:ascii="Times New Roman" w:hAnsi="Times New Roman"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spacing w:after="160" w:line="278" w:lineRule="auto"/>
        <w:rPr>
          <w:rFonts w:hint="eastAsia" w:ascii="黑体" w:hAnsi="黑体" w:eastAsia="黑体"/>
          <w:b/>
          <w:bCs/>
          <w:sz w:val="28"/>
          <w:szCs w:val="28"/>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38"/>
      <w:r/>
      <w:bookmarkStart w:id="145" w:name="_Toc22209"/>
      <w:r/>
      <w:r/>
    </w:p>
    <w:p>
      <w:pPr>
        <w:jc w:val="center"/>
        <w:keepLines/>
        <w:keepNext/>
        <w:spacing w:after="160" w:line="400" w:lineRule="exact"/>
        <w:rPr>
          <w:rFonts w:hint="eastAsia" w:ascii="黑体" w:hAnsi="华文中宋" w:eastAsia="黑体"/>
          <w:sz w:val="28"/>
          <w:szCs w:val="28"/>
        </w:rPr>
        <w:outlineLvl w:val="1"/>
      </w:pPr>
      <w:r>
        <w:rPr>
          <w:rFonts w:hint="eastAsia" w:ascii="黑体" w:hAnsi="黑体" w:eastAsia="黑体"/>
          <w:sz w:val="28"/>
          <w:szCs w:val="28"/>
        </w:rPr>
        <w:br w:type="page" w:clear="all"/>
      </w: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45"/>
      <w:r/>
      <w:r/>
    </w:p>
    <w:p>
      <w:pPr>
        <w:spacing w:after="160"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p>
    <w:p>
      <w:pPr>
        <w:spacing w:after="160"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乙方的《投标（响应）文件》及《中标（成交）通知书》，甲乙三方同意签订本合同。具体情况及要求如下：     </w:t>
      </w:r>
      <w:r/>
    </w:p>
    <w:p>
      <w:pPr>
        <w:numPr>
          <w:ilvl w:val="0"/>
          <w:numId w:val="4"/>
        </w:numPr>
        <w:ind w:firstLine="422"/>
        <w:spacing w:after="160" w:line="400" w:lineRule="exact"/>
        <w:rPr>
          <w:rFonts w:hint="eastAsia" w:ascii="宋体" w:hAnsi="宋体"/>
          <w:b/>
          <w:szCs w:val="21"/>
        </w:rPr>
      </w:pPr>
      <w:r>
        <w:rPr>
          <w:rFonts w:hint="eastAsia" w:ascii="宋体" w:hAnsi="宋体"/>
          <w:b/>
          <w:szCs w:val="21"/>
        </w:rPr>
        <w:t xml:space="preserve">项目信息</w:t>
      </w:r>
      <w:r/>
    </w:p>
    <w:p>
      <w:pPr>
        <w:numPr>
          <w:ilvl w:val="0"/>
          <w:numId w:val="5"/>
        </w:numPr>
        <w:ind w:firstLine="420"/>
        <w:spacing w:after="16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after="160" w:line="400" w:lineRule="exact"/>
        <w:rPr>
          <w:rFonts w:hint="eastAsia" w:ascii="宋体" w:hAnsi="宋体"/>
          <w:szCs w:val="21"/>
        </w:rPr>
      </w:pPr>
      <w:r>
        <w:rPr>
          <w:rFonts w:hint="eastAsia" w:ascii="宋体" w:hAnsi="宋体"/>
          <w:szCs w:val="21"/>
        </w:rPr>
        <w:t xml:space="preserve">（3）项目内容：</w:t>
      </w:r>
      <w:r/>
    </w:p>
    <w:p>
      <w:pPr>
        <w:ind w:firstLine="420"/>
        <w:spacing w:after="160"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ind w:firstLine="420"/>
        <w:spacing w:after="160"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after="160"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spacing w:after="160" w:line="400" w:lineRule="exact"/>
        <w:rPr>
          <w:rFonts w:hint="eastAsia" w:ascii="宋体" w:hAnsi="宋体" w:cs="宋体"/>
          <w:szCs w:val="21"/>
        </w:rPr>
      </w:pPr>
      <w:r>
        <w:rPr>
          <w:rFonts w:hint="eastAsia" w:ascii="宋体" w:hAnsi="宋体" w:cs="宋体"/>
          <w:szCs w:val="21"/>
        </w:rPr>
        <w:t xml:space="preserve">涉及信息类产品，请填写该产品关键部件的品牌、型号：</w:t>
      </w:r>
      <w:r/>
    </w:p>
    <w:p>
      <w:pPr>
        <w:ind w:firstLine="420"/>
        <w:spacing w:after="160"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after="160"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after="160" w:line="400" w:lineRule="exact"/>
        <w:widowControl/>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after="160"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after="160"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220"/>
        <w:jc w:val="left"/>
        <w:spacing w:after="160"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after="160"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hint="eastAsia" w:ascii="宋体" w:hAnsi="宋体"/>
          <w:iCs/>
          <w:szCs w:val="21"/>
        </w:rPr>
      </w:pPr>
      <w:r>
        <w:rPr>
          <w:rFonts w:hint="eastAsia" w:ascii="Times New Roman" w:hAnsi="Times New Roman"/>
          <w:szCs w:val="24"/>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hint="eastAsia" w:ascii="宋体" w:hAnsi="宋体"/>
          <w:iCs/>
          <w:szCs w:val="21"/>
        </w:rPr>
      </w:pPr>
      <w:r>
        <w:rPr>
          <w:rFonts w:hint="eastAsia" w:ascii="Times New Roman" w:hAnsi="Times New Roman"/>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ascii="Times New Roman" w:hAnsi="Times New Roman"/>
          <w:szCs w:val="24"/>
        </w:rPr>
      </w:pPr>
      <w:r>
        <w:rPr>
          <w:rFonts w:hint="eastAsia" w:ascii="Times New Roman" w:hAnsi="Times New Roman"/>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after="160"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after="160"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after="160"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after="160"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after="160"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after="160"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after="160" w:line="400" w:lineRule="exact"/>
        <w:rPr>
          <w:rFonts w:ascii="Times New Roman" w:hAnsi="Times New Roman" w:eastAsia="华文楷体"/>
          <w:szCs w:val="24"/>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after="160"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after="160"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after="160"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after="160"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after="160"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after="160"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after="160"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after="160"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after="160"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after="160"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after="160"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after="160"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after="160"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after="160"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after="160"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after="160"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after="160"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after="160"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after="160"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2"/>
        <w:spacing w:after="160" w:line="400" w:lineRule="exact"/>
        <w:rPr>
          <w:rFonts w:hint="eastAsia" w:ascii="宋体" w:hAnsi="宋体"/>
          <w:b/>
          <w:szCs w:val="21"/>
        </w:rPr>
      </w:pPr>
      <w:r>
        <w:rPr>
          <w:rFonts w:hint="eastAsia" w:ascii="宋体" w:hAnsi="宋体"/>
          <w:b/>
          <w:szCs w:val="21"/>
        </w:rPr>
        <w:t xml:space="preserve">合同金额</w:t>
      </w:r>
      <w:r/>
    </w:p>
    <w:p>
      <w:pPr>
        <w:ind w:firstLine="420"/>
        <w:spacing w:after="160"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after="160"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after="160" w:line="400" w:lineRule="exact"/>
        <w:rPr>
          <w:rFonts w:hint="eastAsia" w:ascii="宋体" w:hAnsi="宋体"/>
          <w:szCs w:val="21"/>
        </w:rPr>
      </w:pPr>
      <w:r>
        <w:rPr>
          <w:rFonts w:hint="eastAsia" w:ascii="宋体" w:hAnsi="宋体"/>
          <w:szCs w:val="21"/>
        </w:rPr>
        <w:t xml:space="preserve">    （注：固定单价合同应填写单价和最高限价）</w:t>
      </w:r>
      <w:r/>
    </w:p>
    <w:p>
      <w:pPr>
        <w:spacing w:after="160"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after="160"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after="160" w:line="400" w:lineRule="exact"/>
        <w:rPr>
          <w:rFonts w:ascii="Times New Roman" w:hAnsi="Times New Roman"/>
          <w:szCs w:val="21"/>
        </w:rPr>
      </w:pPr>
      <w:r>
        <w:rPr>
          <w:rFonts w:hint="eastAsia" w:ascii="宋体" w:hAnsi="宋体"/>
          <w:szCs w:val="21"/>
        </w:rPr>
        <w:t xml:space="preserve">（3）付款方式（按项目实际勾选填写）：</w:t>
      </w:r>
      <w:r/>
    </w:p>
    <w:p>
      <w:pPr>
        <w:ind w:firstLine="630"/>
        <w:spacing w:after="160"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firstLine="630"/>
        <w:spacing w:after="16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分期付款：预付款：签订合同后10日内支付合同总价款的30%；进度款：项目完成后经验收合格，付至合同价款的100%。</w:t>
      </w:r>
      <w:r/>
    </w:p>
    <w:p>
      <w:pPr>
        <w:ind w:firstLine="630"/>
        <w:spacing w:after="160" w:line="400" w:lineRule="exact"/>
        <w:rPr>
          <w:rFonts w:hint="eastAsia" w:ascii="宋体" w:hAnsi="宋体"/>
          <w:szCs w:val="21"/>
        </w:rPr>
      </w:pPr>
      <w:r>
        <w:rPr>
          <w:rFonts w:hint="eastAsia" w:ascii="宋体" w:hAnsi="宋体"/>
          <w:szCs w:val="21"/>
        </w:rPr>
        <w:t xml:space="preserve">注：1.在签订合同时，乙方明确表示无需预付款或者主动要求降低预付款比例的金额，甲方可不适用预付款规定。2.付款前，供应商应向采购人提供符合要求的发票，否则，采购人有权拒绝付款，同时不免除供应商合同履行义务。</w:t>
      </w:r>
      <w:r/>
    </w:p>
    <w:p>
      <w:pPr>
        <w:ind w:firstLine="630"/>
        <w:spacing w:after="160" w:line="400" w:lineRule="exact"/>
        <w:rPr>
          <w:rFonts w:hint="eastAsia" w:ascii="宋体" w:hAnsi="宋体"/>
          <w:szCs w:val="21"/>
        </w:rPr>
      </w:pPr>
      <w:r>
        <w:rPr>
          <w:rFonts w:hint="eastAsia" w:ascii="宋体" w:hAnsi="宋体"/>
          <w:szCs w:val="21"/>
        </w:rPr>
        <w:t xml:space="preserve">    2. 资金支付的主体：宿迁市楚润数据集团有限公司。</w:t>
      </w:r>
      <w:r/>
    </w:p>
    <w:p>
      <w:pPr>
        <w:numPr>
          <w:ilvl w:val="0"/>
          <w:numId w:val="4"/>
        </w:numPr>
        <w:ind w:firstLine="422"/>
        <w:spacing w:after="160" w:line="400" w:lineRule="exact"/>
        <w:rPr>
          <w:rFonts w:hint="eastAsia" w:ascii="宋体" w:hAnsi="宋体"/>
          <w:b/>
          <w:szCs w:val="21"/>
          <w:u w:val="single"/>
        </w:rPr>
      </w:pPr>
      <w:r>
        <w:rPr>
          <w:rFonts w:hint="eastAsia" w:ascii="宋体" w:hAnsi="宋体"/>
          <w:b/>
          <w:szCs w:val="21"/>
        </w:rPr>
        <w:t xml:space="preserve">合同履行</w:t>
      </w:r>
      <w:r/>
    </w:p>
    <w:p>
      <w:pPr>
        <w:ind w:firstLine="420"/>
        <w:spacing w:after="16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after="160"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after="160"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A.履约保证金应在采购合同签订前向甲方提交，履约保证金的金额：按采购合同总价的2%计取。除银行电汇、网上银行、数字人民币外，乙方还可选用银行保函、担保公司的保证担保或保险公司的保证保险等多种形式向甲方缴纳，支持和鼓励乙方自愿使用履约保函（保险）代替缴纳履约保证金，乙方如使用江苏政府采购电子履约保函（保险）的，可按采购合同总价的 1.2 %提交。办理流程、偿付等内容见江苏政府采购网“保险保函”模块。履约保函（保险）开具期限须覆盖合同履约期。</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B.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C.履约保证金退还的条件：项目验收合格，出具验收报告及履约保证金收据申请退付；</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D.履约保证金退还时间：甲方收到乙方退付申请后5个工作日内退还；</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E.履约保证金不予退还情形：除不可抗力外，乙方不履行与甲方订立的采购合同的，履约保证金不予退还，给甲方造成的损失超过履约保证金数额的，还应当对超过部分予以赔偿。</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F.逾期退还履约保证金的违约责任：除应当退还履约保证金外，还应当按中国人民银行同期贷款基准利率上浮 20％后的利率支付超期资金占用费，但因乙方自身原因导致无法及时退还的除外。</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G.本项目支持和鼓励供应商使用江苏政府采购电子履约保函（保险）代替缴纳履约保证金。办理流程、偿付等内容见江苏政府采购网“保险保函”模块。</w:t>
      </w:r>
      <w:r/>
    </w:p>
    <w:p>
      <w:pPr>
        <w:numPr>
          <w:ilvl w:val="0"/>
          <w:numId w:val="4"/>
        </w:numPr>
        <w:ind w:firstLine="422"/>
        <w:spacing w:after="160" w:line="400" w:lineRule="exact"/>
        <w:rPr>
          <w:rFonts w:hint="eastAsia" w:ascii="宋体" w:hAnsi="宋体"/>
          <w:b/>
          <w:szCs w:val="21"/>
        </w:rPr>
      </w:pPr>
      <w:r>
        <w:rPr>
          <w:rFonts w:hint="eastAsia" w:ascii="宋体" w:hAnsi="宋体"/>
          <w:b/>
          <w:szCs w:val="21"/>
        </w:rPr>
        <w:t xml:space="preserve">合同验收</w:t>
      </w:r>
      <w:r/>
    </w:p>
    <w:p>
      <w:pPr>
        <w:numPr>
          <w:ilvl w:val="0"/>
          <w:numId w:val="6"/>
        </w:numPr>
        <w:ind w:firstLine="420"/>
        <w:spacing w:after="16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after="160"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after="160"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after="160"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after="16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after="16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after="160"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after="160" w:line="400" w:lineRule="exact"/>
        <w:rPr>
          <w:rFonts w:hint="eastAsia" w:ascii="宋体" w:hAnsi="宋体"/>
          <w:bCs/>
          <w:szCs w:val="21"/>
        </w:rPr>
      </w:pPr>
      <w:r>
        <w:rPr>
          <w:rFonts w:hint="eastAsia" w:ascii="宋体" w:hAnsi="宋体"/>
          <w:bCs/>
          <w:szCs w:val="21"/>
        </w:rPr>
        <w:t xml:space="preserve">（4）履约验收程序：</w:t>
      </w:r>
      <w:r/>
    </w:p>
    <w:p>
      <w:pPr>
        <w:ind w:firstLine="420"/>
        <w:spacing w:after="160" w:line="400" w:lineRule="exact"/>
        <w:rPr>
          <w:rFonts w:hint="eastAsia" w:ascii="宋体" w:hAnsi="宋体"/>
          <w:bCs/>
          <w:szCs w:val="21"/>
          <w:u w:val="single"/>
        </w:rPr>
      </w:pPr>
      <w:r>
        <w:rPr>
          <w:rFonts w:hint="eastAsia" w:ascii="宋体" w:hAnsi="宋体"/>
          <w:bCs/>
          <w:szCs w:val="21"/>
          <w:u w:val="single"/>
        </w:rPr>
        <w:t xml:space="preserve">履约验收条件达到时，采购人在5个工作日内启动履约验收工作，并向供应商发出《政府采购履约验收通知单》。</w:t>
      </w:r>
      <w:r/>
    </w:p>
    <w:p>
      <w:pPr>
        <w:ind w:firstLine="420"/>
        <w:spacing w:after="160" w:line="400" w:lineRule="exact"/>
        <w:rPr>
          <w:rFonts w:hint="eastAsia" w:ascii="宋体" w:hAnsi="宋体"/>
          <w:bCs/>
          <w:szCs w:val="21"/>
          <w:u w:val="single"/>
        </w:rPr>
      </w:pPr>
      <w:r>
        <w:rPr>
          <w:rFonts w:hint="eastAsia" w:ascii="宋体" w:hAnsi="宋体"/>
          <w:bCs/>
          <w:szCs w:val="21"/>
          <w:u w:val="single"/>
        </w:rPr>
        <w:t xml:space="preserve">验收小组制定验收工作实施方案，按照方案开展验收；履约验收工作结束后，验收小组应形成书面验收意见。</w:t>
      </w:r>
      <w:r/>
    </w:p>
    <w:p>
      <w:pPr>
        <w:ind w:firstLine="420"/>
        <w:spacing w:after="160" w:line="400" w:lineRule="exact"/>
        <w:rPr>
          <w:rFonts w:hint="eastAsia" w:ascii="宋体" w:hAnsi="宋体"/>
          <w:bCs/>
          <w:szCs w:val="21"/>
        </w:rPr>
      </w:pPr>
      <w:r>
        <w:rPr>
          <w:rFonts w:hint="eastAsia" w:ascii="宋体" w:hAnsi="宋体"/>
          <w:bCs/>
          <w:szCs w:val="21"/>
          <w:u w:val="single"/>
        </w:rPr>
        <w:t xml:space="preserve">采购人、供应商对验收小组出具的验收意见进行确认，并形成政府采购履约验收书，验收书格式见江苏省财政厅印发的《政府采购履约验收书参考样本》。</w:t>
      </w:r>
      <w:r/>
    </w:p>
    <w:p>
      <w:pPr>
        <w:ind w:firstLine="420"/>
        <w:spacing w:after="160"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after="16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after="160"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after="16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2"/>
        <w:spacing w:after="160" w:line="400" w:lineRule="exact"/>
        <w:rPr>
          <w:rFonts w:hint="eastAsia" w:ascii="宋体" w:hAnsi="宋体"/>
          <w:b/>
          <w:szCs w:val="21"/>
        </w:rPr>
      </w:pPr>
      <w:r>
        <w:rPr>
          <w:rFonts w:hint="eastAsia" w:ascii="宋体" w:hAnsi="宋体"/>
          <w:b/>
          <w:szCs w:val="21"/>
        </w:rPr>
        <w:t xml:space="preserve">组成合同的文件</w:t>
      </w:r>
      <w:r/>
    </w:p>
    <w:p>
      <w:pPr>
        <w:ind w:firstLine="420"/>
        <w:spacing w:after="160"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after="160"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after="160" w:line="400" w:lineRule="exact"/>
        <w:rPr>
          <w:rFonts w:hint="eastAsia" w:ascii="宋体" w:hAnsi="宋体"/>
          <w:szCs w:val="21"/>
        </w:rPr>
      </w:pPr>
      <w:r>
        <w:rPr>
          <w:rFonts w:hint="eastAsia" w:ascii="宋体" w:hAnsi="宋体"/>
          <w:szCs w:val="21"/>
        </w:rPr>
        <w:t xml:space="preserve">（2）政府采购合同专用条款</w:t>
      </w:r>
      <w:r/>
    </w:p>
    <w:p>
      <w:pPr>
        <w:ind w:firstLine="420"/>
        <w:spacing w:after="160" w:line="400" w:lineRule="exact"/>
        <w:rPr>
          <w:rFonts w:hint="eastAsia" w:ascii="宋体" w:hAnsi="宋体"/>
          <w:szCs w:val="21"/>
        </w:rPr>
      </w:pPr>
      <w:r>
        <w:rPr>
          <w:rFonts w:hint="eastAsia" w:ascii="宋体" w:hAnsi="宋体"/>
          <w:szCs w:val="21"/>
        </w:rPr>
        <w:t xml:space="preserve">（3）政府采购合同通用条款</w:t>
      </w:r>
      <w:r/>
    </w:p>
    <w:p>
      <w:pPr>
        <w:ind w:firstLine="420"/>
        <w:spacing w:after="160" w:line="400" w:lineRule="exact"/>
        <w:rPr>
          <w:rFonts w:hint="eastAsia" w:ascii="宋体" w:hAnsi="宋体"/>
          <w:szCs w:val="21"/>
        </w:rPr>
      </w:pPr>
      <w:r>
        <w:rPr>
          <w:rFonts w:hint="eastAsia" w:ascii="宋体" w:hAnsi="宋体"/>
          <w:szCs w:val="21"/>
        </w:rPr>
        <w:t xml:space="preserve">（4）中标（成交）通知书</w:t>
      </w:r>
      <w:r/>
    </w:p>
    <w:p>
      <w:pPr>
        <w:ind w:firstLine="420"/>
        <w:spacing w:after="160" w:line="400" w:lineRule="exact"/>
        <w:rPr>
          <w:rFonts w:hint="eastAsia" w:ascii="宋体" w:hAnsi="宋体"/>
          <w:szCs w:val="21"/>
        </w:rPr>
      </w:pPr>
      <w:r>
        <w:rPr>
          <w:rFonts w:hint="eastAsia" w:ascii="宋体" w:hAnsi="宋体"/>
          <w:szCs w:val="21"/>
        </w:rPr>
        <w:t xml:space="preserve">（5）投标（响应）文件</w:t>
      </w:r>
      <w:r/>
    </w:p>
    <w:p>
      <w:pPr>
        <w:ind w:firstLine="420"/>
        <w:spacing w:after="160" w:line="400" w:lineRule="exact"/>
        <w:rPr>
          <w:rFonts w:hint="eastAsia" w:ascii="宋体" w:hAnsi="宋体"/>
          <w:szCs w:val="21"/>
        </w:rPr>
      </w:pPr>
      <w:r>
        <w:rPr>
          <w:rFonts w:hint="eastAsia" w:ascii="宋体" w:hAnsi="宋体"/>
          <w:szCs w:val="21"/>
        </w:rPr>
        <w:t xml:space="preserve">（6）采购文件</w:t>
      </w:r>
      <w:r/>
    </w:p>
    <w:p>
      <w:pPr>
        <w:ind w:firstLine="420"/>
        <w:spacing w:after="160" w:line="400" w:lineRule="exact"/>
        <w:rPr>
          <w:rFonts w:hint="eastAsia" w:ascii="宋体" w:hAnsi="宋体"/>
          <w:szCs w:val="21"/>
        </w:rPr>
      </w:pPr>
      <w:r>
        <w:rPr>
          <w:rFonts w:hint="eastAsia" w:ascii="宋体" w:hAnsi="宋体"/>
          <w:szCs w:val="21"/>
        </w:rPr>
        <w:t xml:space="preserve">（7）有关技术文件，图纸</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4"/>
        </w:numPr>
        <w:ind w:firstLine="422"/>
        <w:spacing w:after="160" w:line="400" w:lineRule="exact"/>
        <w:rPr>
          <w:rFonts w:hint="eastAsia" w:ascii="宋体" w:hAnsi="宋体"/>
          <w:b/>
          <w:szCs w:val="21"/>
        </w:rPr>
      </w:pPr>
      <w:r>
        <w:rPr>
          <w:rFonts w:hint="eastAsia" w:ascii="宋体" w:hAnsi="宋体"/>
          <w:b/>
          <w:szCs w:val="21"/>
        </w:rPr>
        <w:t xml:space="preserve">合同生效</w:t>
      </w:r>
      <w:r/>
    </w:p>
    <w:p>
      <w:pPr>
        <w:ind w:firstLine="420"/>
        <w:spacing w:after="160"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2"/>
        <w:spacing w:after="160" w:line="400" w:lineRule="exact"/>
        <w:rPr>
          <w:rFonts w:hint="eastAsia" w:ascii="宋体" w:hAnsi="宋体"/>
          <w:b/>
          <w:szCs w:val="21"/>
        </w:rPr>
      </w:pPr>
      <w:r>
        <w:rPr>
          <w:rFonts w:hint="eastAsia" w:ascii="宋体" w:hAnsi="宋体"/>
          <w:b/>
          <w:szCs w:val="21"/>
        </w:rPr>
        <w:t xml:space="preserve">合同份数</w:t>
      </w:r>
      <w:r/>
    </w:p>
    <w:p>
      <w:pPr>
        <w:ind w:firstLine="420"/>
        <w:spacing w:after="160"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w:t>
      </w:r>
      <w:r>
        <w:rPr>
          <w:rFonts w:hint="eastAsia" w:ascii="宋体" w:hAnsi="宋体"/>
          <w:b/>
          <w:bCs/>
          <w:szCs w:val="21"/>
        </w:rPr>
        <w:t xml:space="preserve">纸质合同和双方在“苏采云”系统签订的电子合同</w:t>
      </w:r>
      <w:r>
        <w:rPr>
          <w:rFonts w:hint="eastAsia" w:ascii="宋体" w:hAnsi="宋体"/>
          <w:szCs w:val="21"/>
        </w:rPr>
        <w:t xml:space="preserve">均具有同等法律效力。</w:t>
      </w:r>
      <w:r/>
    </w:p>
    <w:p>
      <w:pPr>
        <w:ind w:firstLine="420"/>
        <w:spacing w:after="160"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after="160"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after="160" w:line="400" w:lineRule="exact"/>
        <w:rPr>
          <w:rFonts w:ascii="Times New Roman" w:hAnsi="Times New Roman"/>
          <w:szCs w:val="24"/>
        </w:rPr>
      </w:pPr>
      <w:r>
        <w:rPr>
          <w:rFonts w:hint="eastAsia" w:ascii="宋体" w:hAnsi="宋体"/>
          <w:szCs w:val="21"/>
        </w:rPr>
        <w:t xml:space="preserve">附件：具体标的及其技术要求和商务要求、联合协议、分包意向协议等。</w:t>
      </w:r>
      <w:r/>
    </w:p>
    <w:p>
      <w:pPr>
        <w:ind w:firstLine="420"/>
        <w:spacing w:after="160" w:line="400" w:lineRule="exact"/>
        <w:rPr>
          <w:rFonts w:ascii="Times New Roman" w:hAnsi="Times New Roman"/>
          <w:szCs w:val="21"/>
        </w:rPr>
      </w:pPr>
      <w:r>
        <w:rPr>
          <w:rFonts w:ascii="Times New Roman" w:hAnsi="Times New Roman"/>
          <w:szCs w:val="21"/>
        </w:rPr>
      </w:r>
      <w:r/>
    </w:p>
    <w:tbl>
      <w:tblPr>
        <w:tblStyle w:val="791"/>
        <w:tblW w:w="5000" w:type="pct"/>
        <w:tblInd w:w="113"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1985"/>
        <w:gridCol w:w="2124"/>
        <w:gridCol w:w="1842"/>
        <w:gridCol w:w="2174"/>
      </w:tblGrid>
      <w:tr>
        <w:trPr>
          <w:trHeight w:val="490"/>
        </w:trPr>
        <w:tc>
          <w:tcPr>
            <w:tcBorders>
              <w:bottom w:val="single" w:color="000000" w:sz="2" w:space="0"/>
              <w:right w:val="single" w:color="000000" w:sz="4"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bottom w:val="single" w:color="000000" w:sz="2" w:space="0"/>
              <w:right w:val="single" w:color="000000" w:sz="4"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宿迁市教育局</w:t>
            </w:r>
            <w:r>
              <w:rPr>
                <w:rFonts w:ascii="宋体" w:hAnsi="宋体"/>
                <w:sz w:val="24"/>
                <w:szCs w:val="24"/>
              </w:rPr>
              <w:t xml:space="preserve">(甲（1）)</w:t>
            </w:r>
            <w:r/>
          </w:p>
        </w:tc>
        <w:tc>
          <w:tcPr>
            <w:tcBorders>
              <w:left w:val="single" w:color="000000" w:sz="4"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宿迁市楚润数据集团有限公司(甲（2）)</w:t>
            </w:r>
            <w:r/>
          </w:p>
        </w:tc>
        <w:tc>
          <w:tcPr>
            <w:gridSpan w:val="2"/>
            <w:tcBorders>
              <w:left w:val="single" w:color="000000" w:sz="2" w:space="0"/>
              <w:bottom w:val="single" w:color="000000" w:sz="2" w:space="0"/>
            </w:tcBorders>
            <w:tcW w:w="2137"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乙方</w:t>
            </w:r>
            <w:r>
              <w:rPr>
                <w:rFonts w:hint="eastAsia" w:ascii="宋体" w:hAnsi="宋体"/>
                <w:sz w:val="24"/>
                <w:szCs w:val="24"/>
              </w:rPr>
              <w:t xml:space="preserve">（供应商）</w:t>
            </w:r>
            <w:r/>
          </w:p>
        </w:tc>
      </w:tr>
      <w:tr>
        <w:trPr>
          <w:trHeight w:val="917"/>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cantSplit/>
          <w:trHeight w:val="1171"/>
        </w:trPr>
        <w:tc>
          <w:tcPr>
            <w:tcBorders>
              <w:top w:val="single" w:color="000000" w:sz="2" w:space="0"/>
              <w:right w:val="single" w:color="000000" w:sz="2" w:space="0"/>
            </w:tcBorders>
            <w:tcW w:w="678" w:type="pct"/>
            <w:vAlign w:val="center"/>
            <w:vMerge w:val="restart"/>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法定代表人</w:t>
            </w:r>
            <w:r/>
          </w:p>
          <w:p>
            <w:pPr>
              <w:ind w:firstLine="115"/>
              <w:jc w:val="center"/>
              <w:spacing w:line="300" w:lineRule="exact"/>
              <w:rPr>
                <w:rFonts w:hint="eastAsia"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right w:val="single" w:color="000000" w:sz="2" w:space="0"/>
            </w:tcBorders>
            <w:tcW w:w="1056" w:type="pct"/>
            <w:vAlign w:val="center"/>
            <w:vMerge w:val="restar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right w:val="single" w:color="000000" w:sz="2" w:space="0"/>
            </w:tcBorders>
            <w:tcW w:w="1130" w:type="pct"/>
            <w:vMerge w:val="restar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法定代表人</w:t>
            </w:r>
            <w:r/>
          </w:p>
          <w:p>
            <w:pPr>
              <w:jc w:val="center"/>
              <w:spacing w:line="300" w:lineRule="exact"/>
              <w:rPr>
                <w:rFonts w:hint="eastAsia"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r>
      <w:tr>
        <w:trPr>
          <w:cantSplit/>
          <w:trHeight w:val="483"/>
        </w:trPr>
        <w:tc>
          <w:tcPr>
            <w:tcBorders>
              <w:bottom w:val="single" w:color="000000" w:sz="2" w:space="0"/>
              <w:right w:val="single" w:color="000000" w:sz="2" w:space="0"/>
            </w:tcBorders>
            <w:tcW w:w="678" w:type="pct"/>
            <w:vAlign w:val="center"/>
            <w:vMerge w:val="continue"/>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left w:val="single" w:color="000000" w:sz="2" w:space="0"/>
              <w:bottom w:val="single" w:color="000000" w:sz="2" w:space="0"/>
              <w:right w:val="single" w:color="000000" w:sz="2" w:space="0"/>
            </w:tcBorders>
            <w:tcW w:w="1056" w:type="pct"/>
            <w:vAlign w:val="center"/>
            <w:vMerge w:val="continue"/>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left w:val="single" w:color="000000" w:sz="2" w:space="0"/>
              <w:bottom w:val="single" w:color="000000" w:sz="2" w:space="0"/>
              <w:right w:val="single" w:color="000000" w:sz="2" w:space="0"/>
            </w:tcBorders>
            <w:tcW w:w="1130" w:type="pct"/>
            <w:vMerge w:val="continue"/>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拥有者性别</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住  所</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住  所</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678"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056" w:type="pct"/>
            <w:vAlign w:val="center"/>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30" w:type="pct"/>
            <w:textDirection w:val="lrTb"/>
            <w:noWrap w:val="false"/>
          </w:tcPr>
          <w:p>
            <w:pPr>
              <w:jc w:val="center"/>
              <w:spacing w:line="300" w:lineRule="exact"/>
              <w:rPr>
                <w:rFonts w:hint="eastAsia" w:ascii="宋体" w:hAnsi="宋体"/>
                <w:sz w:val="24"/>
                <w:szCs w:val="24"/>
              </w:rPr>
            </w:pP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980" w:type="pct"/>
            <w:vAlign w:val="center"/>
            <w:textDirection w:val="lrTb"/>
            <w:noWrap w:val="false"/>
          </w:tcPr>
          <w:p>
            <w:pPr>
              <w:jc w:val="center"/>
              <w:spacing w:line="300" w:lineRule="exact"/>
              <w:rPr>
                <w:rFonts w:hint="eastAsia"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157" w:type="pct"/>
            <w:vAlign w:val="center"/>
            <w:textDirection w:val="lrTb"/>
            <w:noWrap w:val="false"/>
          </w:tcPr>
          <w:p>
            <w:pPr>
              <w:jc w:val="center"/>
              <w:spacing w:line="300" w:lineRule="exact"/>
              <w:rPr>
                <w:rFonts w:hint="eastAsia" w:ascii="宋体" w:hAnsi="宋体"/>
                <w:spacing w:val="20"/>
                <w:sz w:val="24"/>
                <w:szCs w:val="24"/>
              </w:rPr>
            </w:pPr>
            <w:r>
              <w:rPr>
                <w:rFonts w:hint="eastAsia" w:ascii="宋体" w:hAnsi="宋体"/>
                <w:spacing w:val="20"/>
                <w:sz w:val="24"/>
                <w:szCs w:val="24"/>
              </w:rPr>
            </w:r>
            <w:r/>
          </w:p>
        </w:tc>
      </w:tr>
    </w:tbl>
    <w:p>
      <w:pPr>
        <w:spacing w:after="160" w:line="278" w:lineRule="auto"/>
        <w:rPr>
          <w:rFonts w:ascii="Times New Roman" w:hAnsi="Times New Roman"/>
          <w:szCs w:val="24"/>
        </w:rPr>
      </w:pPr>
      <w:r>
        <w:rPr>
          <w:rFonts w:hint="eastAsia" w:ascii="Times New Roman" w:hAnsi="Times New Roman"/>
          <w:szCs w:val="24"/>
        </w:rPr>
        <w:br w:type="page" w:clear="all"/>
      </w:r>
      <w:r/>
    </w:p>
    <w:p>
      <w:pPr>
        <w:jc w:val="center"/>
        <w:keepLines/>
        <w:keepNext/>
        <w:spacing w:before="120" w:after="160" w:line="360" w:lineRule="auto"/>
        <w:rPr>
          <w:rFonts w:hint="eastAsia" w:ascii="黑体" w:hAnsi="黑体" w:eastAsia="黑体"/>
          <w:b/>
          <w:bCs/>
          <w:sz w:val="28"/>
          <w:szCs w:val="28"/>
        </w:rPr>
        <w:outlineLvl w:val="1"/>
      </w:pPr>
      <w:r/>
      <w:bookmarkStart w:id="146" w:name="_Toc27624"/>
      <w:r>
        <w:rPr>
          <w:rFonts w:hint="eastAsia" w:ascii="黑体" w:hAnsi="黑体" w:eastAsia="黑体"/>
          <w:sz w:val="28"/>
          <w:szCs w:val="28"/>
        </w:rPr>
        <w:t xml:space="preserve">第二节 政府采购合同通用条款</w:t>
      </w:r>
      <w:bookmarkEnd w:id="146"/>
      <w:r/>
      <w:r/>
    </w:p>
    <w:p>
      <w:pPr>
        <w:jc w:val="left"/>
        <w:spacing w:after="160"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after="160"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after="160"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after="160"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after="160"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after="16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after="16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after="160"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after="160"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after="16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after="160"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7"/>
        </w:numPr>
        <w:jc w:val="left"/>
        <w:spacing w:after="160" w:line="400" w:lineRule="exact"/>
        <w:rPr>
          <w:rFonts w:hint="eastAsia" w:ascii="宋体" w:hAnsi="宋体"/>
          <w:b/>
          <w:bCs/>
          <w:color w:val="000000"/>
          <w:sz w:val="24"/>
          <w:szCs w:val="24"/>
        </w:rPr>
      </w:pPr>
      <w:r>
        <w:rPr>
          <w:rFonts w:hint="eastAsia" w:ascii="宋体" w:hAnsi="宋体"/>
          <w:b/>
          <w:color w:val="000000"/>
          <w:sz w:val="24"/>
          <w:szCs w:val="24"/>
        </w:rPr>
        <w:t xml:space="preserve">合同标的及金额</w:t>
      </w:r>
      <w:r/>
    </w:p>
    <w:p>
      <w:pPr>
        <w:ind w:firstLine="420"/>
        <w:jc w:val="left"/>
        <w:spacing w:after="160"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after="160" w:line="400" w:lineRule="exact"/>
        <w:rPr>
          <w:rFonts w:hint="eastAsia" w:ascii="宋体" w:hAnsi="宋体"/>
          <w:b/>
          <w:color w:val="000000"/>
          <w:sz w:val="24"/>
          <w:szCs w:val="24"/>
        </w:rPr>
      </w:pPr>
      <w:r>
        <w:rPr>
          <w:rFonts w:hint="eastAsia" w:ascii="宋体" w:hAnsi="宋体"/>
          <w:b/>
          <w:color w:val="000000"/>
          <w:sz w:val="24"/>
          <w:szCs w:val="24"/>
        </w:rPr>
        <w:t xml:space="preserve">3. 履行合同的时间、地点和方式</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after="160" w:line="400" w:lineRule="exact"/>
        <w:rPr>
          <w:rFonts w:hint="eastAsia" w:ascii="宋体" w:hAnsi="宋体"/>
          <w:b/>
          <w:bCs/>
          <w:color w:val="000000"/>
          <w:sz w:val="24"/>
          <w:szCs w:val="24"/>
        </w:rPr>
      </w:pPr>
      <w:r>
        <w:rPr>
          <w:rFonts w:hint="eastAsia" w:ascii="宋体" w:hAnsi="宋体"/>
          <w:b/>
          <w:bCs/>
          <w:color w:val="000000"/>
          <w:sz w:val="24"/>
          <w:szCs w:val="24"/>
        </w:rPr>
        <w:t xml:space="preserve">4. 甲方的权利和义务</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after="160"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after="160" w:line="400" w:lineRule="exact"/>
        <w:rPr>
          <w:rFonts w:hint="eastAsia" w:ascii="宋体" w:hAnsi="宋体"/>
          <w:b/>
          <w:bCs/>
          <w:color w:val="000000"/>
          <w:sz w:val="24"/>
          <w:szCs w:val="24"/>
        </w:rPr>
      </w:pPr>
      <w:r>
        <w:rPr>
          <w:rFonts w:hint="eastAsia" w:ascii="宋体" w:hAnsi="宋体"/>
          <w:b/>
          <w:bCs/>
          <w:color w:val="000000"/>
          <w:sz w:val="24"/>
          <w:szCs w:val="24"/>
        </w:rPr>
        <w:t xml:space="preserve">5. 乙方的权利和义务</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369"/>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ind w:firstLine="369"/>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8"/>
        </w:numPr>
        <w:jc w:val="left"/>
        <w:spacing w:after="160"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after="160" w:line="400" w:lineRule="exact"/>
        <w:rPr>
          <w:rFonts w:ascii="Times New Roman" w:hAnsi="Times New Roman"/>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160" w:line="400" w:lineRule="exact"/>
        <w:rPr>
          <w:rFonts w:hint="eastAsia" w:ascii="宋体" w:hAnsi="宋体"/>
          <w:b/>
          <w:bCs/>
          <w:color w:val="000000"/>
          <w:sz w:val="24"/>
          <w:szCs w:val="24"/>
        </w:rPr>
      </w:pPr>
      <w:r>
        <w:rPr>
          <w:rFonts w:hint="eastAsia" w:ascii="宋体" w:hAnsi="宋体"/>
          <w:b/>
          <w:bCs/>
          <w:color w:val="000000"/>
          <w:sz w:val="24"/>
          <w:szCs w:val="24"/>
        </w:rPr>
        <w:t xml:space="preserve">7. 货物包装、运输、保险和交付要求</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after="160"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after="160" w:line="400" w:lineRule="exact"/>
        <w:rPr>
          <w:rFonts w:hint="eastAsia"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ind w:firstLine="420"/>
        <w:jc w:val="left"/>
        <w:spacing w:after="160"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after="160"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after="160"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after="160"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after="160"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after="160" w:line="400" w:lineRule="exact"/>
        <w:rPr>
          <w:rFonts w:hint="eastAsia" w:ascii="宋体" w:hAnsi="宋体"/>
          <w:szCs w:val="21"/>
        </w:rPr>
      </w:pPr>
      <w:r>
        <w:rPr>
          <w:rFonts w:hint="eastAsia" w:ascii="宋体" w:hAnsi="宋体"/>
          <w:szCs w:val="21"/>
        </w:rPr>
        <w:t xml:space="preserve">8.2 保证</w:t>
      </w:r>
      <w:r/>
    </w:p>
    <w:p>
      <w:pPr>
        <w:ind w:firstLine="420"/>
        <w:jc w:val="left"/>
        <w:spacing w:after="160"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after="160"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after="160"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after="160"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after="160" w:line="400" w:lineRule="exact"/>
        <w:rPr>
          <w:rFonts w:ascii="Times New Roman" w:hAnsi="Times New Roman"/>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after="160" w:line="400" w:lineRule="exact"/>
        <w:rPr>
          <w:rFonts w:hint="eastAsia"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after="160"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after="160" w:line="400" w:lineRule="exact"/>
        <w:rPr>
          <w:rFonts w:hint="eastAsia" w:ascii="宋体" w:hAnsi="宋体"/>
          <w:b/>
          <w:bCs/>
          <w:color w:val="000000"/>
          <w:sz w:val="24"/>
          <w:szCs w:val="24"/>
        </w:rPr>
      </w:pPr>
      <w:r>
        <w:rPr>
          <w:rFonts w:hint="eastAsia" w:ascii="宋体" w:hAnsi="宋体"/>
          <w:b/>
          <w:bCs/>
          <w:color w:val="000000"/>
          <w:sz w:val="24"/>
          <w:szCs w:val="24"/>
        </w:rPr>
        <w:t xml:space="preserve">10. 知识产权保护</w:t>
      </w:r>
      <w:r/>
    </w:p>
    <w:p>
      <w:pPr>
        <w:ind w:firstLine="420"/>
        <w:jc w:val="left"/>
        <w:spacing w:after="160"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4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47"/>
      <w:r>
        <w:rPr>
          <w:rFonts w:hint="eastAsia" w:ascii="宋体" w:hAnsi="宋体"/>
          <w:szCs w:val="21"/>
        </w:rPr>
        <w:t xml:space="preserve">。</w:t>
      </w:r>
      <w:r/>
    </w:p>
    <w:p>
      <w:pPr>
        <w:jc w:val="left"/>
        <w:spacing w:after="160" w:line="400" w:lineRule="exact"/>
        <w:rPr>
          <w:rFonts w:hint="eastAsia" w:ascii="宋体" w:hAnsi="宋体"/>
          <w:b/>
          <w:bCs/>
          <w:sz w:val="24"/>
          <w:szCs w:val="24"/>
        </w:rPr>
      </w:pPr>
      <w:r>
        <w:rPr>
          <w:rFonts w:hint="eastAsia" w:ascii="宋体" w:hAnsi="宋体"/>
          <w:b/>
          <w:bCs/>
          <w:sz w:val="24"/>
          <w:szCs w:val="24"/>
        </w:rPr>
        <w:t xml:space="preserve">11. 保密义务</w:t>
      </w:r>
      <w:r/>
    </w:p>
    <w:p>
      <w:pPr>
        <w:ind w:firstLine="420"/>
        <w:jc w:val="left"/>
        <w:spacing w:after="160"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after="160" w:line="400" w:lineRule="exact"/>
        <w:rPr>
          <w:rFonts w:hint="eastAsia" w:ascii="宋体" w:hAnsi="宋体"/>
          <w:b/>
          <w:bCs/>
          <w:sz w:val="24"/>
          <w:szCs w:val="24"/>
        </w:rPr>
      </w:pPr>
      <w:r>
        <w:rPr>
          <w:rFonts w:hint="eastAsia" w:ascii="宋体" w:hAnsi="宋体"/>
          <w:b/>
          <w:bCs/>
          <w:sz w:val="24"/>
          <w:szCs w:val="24"/>
        </w:rPr>
        <w:t xml:space="preserve">12. 合同价款支付</w:t>
      </w:r>
      <w:r/>
    </w:p>
    <w:p>
      <w:pPr>
        <w:ind w:firstLine="420"/>
        <w:jc w:val="left"/>
        <w:spacing w:after="160"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after="160" w:line="400" w:lineRule="exact"/>
        <w:rPr>
          <w:rFonts w:ascii="Arial" w:hAnsi="Arial"/>
          <w:b/>
          <w:bCs/>
          <w:sz w:val="24"/>
          <w:szCs w:val="32"/>
        </w:rPr>
        <w:outlineLvl w:val="1"/>
      </w:pPr>
      <w:r>
        <w:rPr>
          <w:rFonts w:hint="eastAsia"/>
        </w:rPr>
        <w:t xml:space="preserve">12.2 对于满足合同约定支付条件的，甲方原则上应当自收到发票后10个工作日内将资金支付到合同约定的乙方账户，不得</w:t>
      </w:r>
      <w:r>
        <w:rPr>
          <w:rFonts w:hint="eastAsia" w:ascii="宋体" w:hAnsi="宋体"/>
          <w:szCs w:val="21"/>
        </w:rPr>
        <w:t xml:space="preserve">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after="160"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after="160"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after="160" w:line="400" w:lineRule="exact"/>
        <w:rPr>
          <w:rFonts w:hint="eastAsia" w:ascii="宋体" w:hAnsi="宋体"/>
          <w:b/>
          <w:sz w:val="24"/>
          <w:szCs w:val="24"/>
        </w:rPr>
      </w:pPr>
      <w:r>
        <w:rPr>
          <w:rFonts w:hint="eastAsia" w:ascii="宋体" w:hAnsi="宋体"/>
          <w:b/>
          <w:bCs/>
          <w:sz w:val="24"/>
          <w:szCs w:val="24"/>
        </w:rPr>
        <w:t xml:space="preserve">14. </w:t>
      </w:r>
      <w:r>
        <w:rPr>
          <w:rFonts w:hint="eastAsia" w:ascii="Times New Roman" w:hAnsi="Times New Roman"/>
          <w:b/>
          <w:sz w:val="24"/>
          <w:szCs w:val="24"/>
        </w:rPr>
        <w:t xml:space="preserve">售后</w:t>
      </w:r>
      <w:r>
        <w:rPr>
          <w:rFonts w:hint="eastAsia" w:ascii="宋体" w:hAnsi="宋体"/>
          <w:b/>
          <w:sz w:val="24"/>
          <w:szCs w:val="24"/>
        </w:rPr>
        <w:t xml:space="preserve">服务</w:t>
      </w:r>
      <w:r/>
    </w:p>
    <w:p>
      <w:pPr>
        <w:ind w:firstLine="420"/>
        <w:jc w:val="left"/>
        <w:spacing w:after="160"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after="160"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after="160"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after="160"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after="160"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after="160"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after="160"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after="160"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after="160" w:line="400" w:lineRule="exact"/>
        <w:rPr>
          <w:rFonts w:hint="eastAsia" w:ascii="宋体" w:hAnsi="宋体"/>
          <w:b/>
          <w:bCs/>
          <w:sz w:val="24"/>
          <w:szCs w:val="24"/>
        </w:rPr>
      </w:pPr>
      <w:r>
        <w:rPr>
          <w:rFonts w:hint="eastAsia" w:ascii="宋体" w:hAnsi="宋体"/>
          <w:b/>
          <w:bCs/>
          <w:sz w:val="24"/>
          <w:szCs w:val="24"/>
        </w:rPr>
        <w:t xml:space="preserve">15. 违约责任</w:t>
      </w:r>
      <w:r/>
    </w:p>
    <w:p>
      <w:pPr>
        <w:ind w:firstLine="420"/>
        <w:jc w:val="left"/>
        <w:spacing w:after="160"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after="160"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after="160"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after="160"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after="160"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after="160"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after="160"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after="160"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after="160" w:line="400" w:lineRule="exact"/>
        <w:rPr>
          <w:rFonts w:hint="eastAsia" w:ascii="宋体" w:hAnsi="宋体"/>
          <w:b/>
          <w:sz w:val="24"/>
          <w:szCs w:val="24"/>
        </w:rPr>
      </w:pPr>
      <w:r>
        <w:rPr>
          <w:rFonts w:hint="eastAsia" w:ascii="宋体" w:hAnsi="宋体"/>
          <w:b/>
          <w:sz w:val="24"/>
          <w:szCs w:val="24"/>
        </w:rPr>
        <w:t xml:space="preserve">合同变更、中止与终止</w:t>
      </w:r>
      <w:r/>
    </w:p>
    <w:p>
      <w:pPr>
        <w:jc w:val="left"/>
        <w:spacing w:after="160" w:line="400" w:lineRule="exact"/>
        <w:rPr>
          <w:rFonts w:hint="eastAsia" w:ascii="宋体" w:hAnsi="宋体"/>
          <w:szCs w:val="21"/>
        </w:rPr>
      </w:pPr>
      <w:r>
        <w:rPr>
          <w:rFonts w:hint="eastAsia" w:ascii="宋体" w:hAnsi="宋体"/>
          <w:szCs w:val="21"/>
        </w:rPr>
        <w:t xml:space="preserve">    16.1合同的变更</w:t>
      </w:r>
      <w:r/>
    </w:p>
    <w:p>
      <w:pPr>
        <w:ind w:firstLine="420"/>
        <w:jc w:val="left"/>
        <w:spacing w:after="160"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after="160" w:line="400" w:lineRule="exact"/>
        <w:rPr>
          <w:rFonts w:hint="eastAsia" w:ascii="宋体" w:hAnsi="宋体"/>
          <w:szCs w:val="21"/>
        </w:rPr>
      </w:pPr>
      <w:r>
        <w:rPr>
          <w:rFonts w:hint="eastAsia" w:ascii="宋体" w:hAnsi="宋体"/>
          <w:szCs w:val="21"/>
        </w:rPr>
        <w:t xml:space="preserve">16.2合同的中止</w:t>
      </w:r>
      <w:r/>
    </w:p>
    <w:p>
      <w:pPr>
        <w:ind w:firstLine="420"/>
        <w:jc w:val="left"/>
        <w:spacing w:after="160"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after="160"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after="160" w:line="400" w:lineRule="exact"/>
        <w:rPr>
          <w:rFonts w:ascii="Times New Roman" w:hAnsi="Times New Roman"/>
          <w:szCs w:val="24"/>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after="160" w:line="400" w:lineRule="exact"/>
        <w:rPr>
          <w:rFonts w:hint="eastAsia" w:ascii="宋体" w:hAnsi="宋体"/>
          <w:szCs w:val="21"/>
        </w:rPr>
      </w:pPr>
      <w:r>
        <w:rPr>
          <w:rFonts w:hint="eastAsia" w:ascii="宋体" w:hAnsi="宋体"/>
          <w:szCs w:val="21"/>
        </w:rPr>
        <w:t xml:space="preserve">16.3合同的终止</w:t>
      </w:r>
      <w:r/>
    </w:p>
    <w:p>
      <w:pPr>
        <w:ind w:firstLine="420"/>
        <w:jc w:val="left"/>
        <w:spacing w:after="160"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after="160"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after="160"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after="160"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160" w:line="400" w:lineRule="exact"/>
        <w:rPr>
          <w:rFonts w:hint="eastAsia" w:ascii="宋体" w:hAnsi="宋体"/>
          <w:b/>
          <w:bCs/>
          <w:sz w:val="24"/>
          <w:szCs w:val="24"/>
        </w:rPr>
      </w:pPr>
      <w:r>
        <w:rPr>
          <w:rFonts w:hint="eastAsia" w:ascii="宋体" w:hAnsi="宋体"/>
          <w:b/>
          <w:bCs/>
          <w:sz w:val="24"/>
          <w:szCs w:val="24"/>
        </w:rPr>
        <w:t xml:space="preserve">17. 合同分包</w:t>
      </w:r>
      <w:r/>
    </w:p>
    <w:p>
      <w:pPr>
        <w:ind w:firstLine="420"/>
        <w:jc w:val="left"/>
        <w:spacing w:after="160"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after="160"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after="160" w:line="400" w:lineRule="exact"/>
        <w:rPr>
          <w:rFonts w:hint="eastAsia" w:ascii="宋体" w:hAnsi="宋体"/>
          <w:b/>
          <w:bCs/>
          <w:sz w:val="24"/>
          <w:szCs w:val="24"/>
        </w:rPr>
      </w:pPr>
      <w:r>
        <w:rPr>
          <w:rFonts w:hint="eastAsia" w:ascii="宋体" w:hAnsi="宋体"/>
          <w:b/>
          <w:bCs/>
          <w:sz w:val="24"/>
          <w:szCs w:val="24"/>
        </w:rPr>
        <w:t xml:space="preserve">18. 不可抗力</w:t>
      </w:r>
      <w:r/>
    </w:p>
    <w:p>
      <w:pPr>
        <w:ind w:firstLine="420"/>
        <w:jc w:val="left"/>
        <w:spacing w:after="160"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after="160"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after="160"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160" w:line="400" w:lineRule="exact"/>
        <w:rPr>
          <w:rFonts w:hint="eastAsia" w:ascii="宋体" w:hAnsi="宋体"/>
          <w:b/>
          <w:bCs/>
          <w:sz w:val="24"/>
          <w:szCs w:val="24"/>
        </w:rPr>
      </w:pPr>
      <w:r>
        <w:rPr>
          <w:rFonts w:hint="eastAsia" w:ascii="宋体" w:hAnsi="宋体"/>
          <w:b/>
          <w:bCs/>
          <w:sz w:val="24"/>
          <w:szCs w:val="24"/>
        </w:rPr>
        <w:t xml:space="preserve">19. 解决争议的方法</w:t>
      </w:r>
      <w:r/>
    </w:p>
    <w:p>
      <w:pPr>
        <w:ind w:firstLine="420"/>
        <w:spacing w:after="160"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after="160"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after="160" w:line="400" w:lineRule="exact"/>
        <w:rPr>
          <w:rFonts w:hint="eastAsia" w:ascii="宋体" w:hAnsi="宋体"/>
          <w:sz w:val="24"/>
          <w:szCs w:val="24"/>
        </w:rPr>
      </w:pPr>
      <w:r>
        <w:rPr>
          <w:rFonts w:hint="eastAsia" w:ascii="宋体" w:hAnsi="宋体"/>
          <w:b/>
          <w:sz w:val="24"/>
          <w:szCs w:val="24"/>
        </w:rPr>
        <w:t xml:space="preserve">20. 政府采购政策</w:t>
      </w:r>
      <w:r/>
    </w:p>
    <w:p>
      <w:pPr>
        <w:ind w:firstLine="420"/>
        <w:jc w:val="left"/>
        <w:spacing w:after="160"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ind w:firstLine="420"/>
        <w:jc w:val="left"/>
        <w:spacing w:after="160"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after="160" w:line="400" w:lineRule="exact"/>
        <w:rPr>
          <w:rFonts w:hint="eastAsia" w:ascii="宋体" w:hAnsi="宋体"/>
          <w:b/>
          <w:sz w:val="24"/>
          <w:szCs w:val="24"/>
        </w:rPr>
      </w:pPr>
      <w:r>
        <w:rPr>
          <w:rFonts w:hint="eastAsia" w:ascii="宋体" w:hAnsi="宋体"/>
          <w:b/>
          <w:sz w:val="24"/>
          <w:szCs w:val="24"/>
        </w:rPr>
        <w:t xml:space="preserve">21. 法律适用</w:t>
      </w:r>
      <w:r/>
    </w:p>
    <w:p>
      <w:pPr>
        <w:ind w:firstLine="420"/>
        <w:spacing w:after="160"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after="160"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after="160" w:line="400" w:lineRule="exact"/>
        <w:rPr>
          <w:rFonts w:hint="eastAsia" w:ascii="宋体" w:hAnsi="宋体"/>
          <w:b/>
          <w:sz w:val="24"/>
          <w:szCs w:val="24"/>
        </w:rPr>
      </w:pPr>
      <w:r>
        <w:rPr>
          <w:rFonts w:hint="eastAsia" w:ascii="宋体" w:hAnsi="宋体"/>
          <w:b/>
          <w:sz w:val="24"/>
          <w:szCs w:val="24"/>
        </w:rPr>
        <w:t xml:space="preserve">22. 通知</w:t>
      </w:r>
      <w:r/>
    </w:p>
    <w:p>
      <w:pPr>
        <w:ind w:firstLine="420"/>
        <w:spacing w:after="160"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after="160"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after="160"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after="160" w:line="400" w:lineRule="exact"/>
        <w:rPr>
          <w:rFonts w:hint="eastAsia" w:ascii="宋体" w:hAnsi="宋体"/>
          <w:b/>
          <w:bCs/>
          <w:sz w:val="24"/>
          <w:szCs w:val="24"/>
        </w:rPr>
      </w:pPr>
      <w:r>
        <w:rPr>
          <w:rFonts w:hint="eastAsia" w:ascii="宋体" w:hAnsi="宋体"/>
          <w:b/>
          <w:bCs/>
          <w:sz w:val="24"/>
          <w:szCs w:val="24"/>
        </w:rPr>
        <w:t xml:space="preserve">合同未尽事项</w:t>
      </w:r>
      <w:r/>
    </w:p>
    <w:p>
      <w:pPr>
        <w:ind w:firstLine="420"/>
        <w:jc w:val="left"/>
        <w:spacing w:after="160"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after="160"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48" w:name="_Toc20313"/>
      <w:r/>
      <w:r/>
    </w:p>
    <w:p>
      <w:pPr>
        <w:jc w:val="center"/>
        <w:spacing w:after="160"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jc w:val="center"/>
        <w:keepLines/>
        <w:keepNext/>
        <w:spacing w:after="160"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48"/>
      <w:r/>
      <w:r/>
    </w:p>
    <w:tbl>
      <w:tblPr>
        <w:tblStyle w:val="79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不接受联合体参与</w:t>
            </w:r>
            <w:r/>
          </w:p>
        </w:tc>
      </w:tr>
      <w:tr>
        <w:trPr>
          <w:trHeight w:val="60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5</w:t>
            </w:r>
            <w:r>
              <w:rPr>
                <w:rFonts w:ascii="宋体" w:hAnsi="宋体"/>
                <w:szCs w:val="21"/>
              </w:rPr>
              <w:t xml:space="preserve">个工作日</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ascii="Times New Roman" w:hAnsi="Times New Roman"/>
                <w:szCs w:val="24"/>
              </w:rPr>
            </w:pPr>
            <w:r>
              <w:rPr>
                <w:rFonts w:hint="eastAsia" w:ascii="宋体" w:hAnsi="宋体"/>
                <w:szCs w:val="21"/>
              </w:rPr>
              <w:t xml:space="preserve">第5.4款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同时履行</w:t>
            </w:r>
            <w:r/>
          </w:p>
        </w:tc>
      </w:tr>
      <w:tr>
        <w:trPr>
          <w:trHeight w:val="667"/>
        </w:trPr>
        <w:tc>
          <w:tcPr>
            <w:tcW w:w="1607" w:type="dxa"/>
            <w:vAlign w:val="center"/>
            <w:vMerge w:val="restart"/>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after="160" w:line="278" w:lineRule="auto"/>
              <w:rPr>
                <w:rFonts w:ascii="Times New Roman" w:hAnsi="Times New Roman"/>
                <w:szCs w:val="24"/>
              </w:rPr>
            </w:pPr>
            <w:r>
              <w:rPr>
                <w:rFonts w:ascii="Times New Roman" w:hAnsi="Times New Roman"/>
                <w:szCs w:val="24"/>
              </w:rPr>
              <w:t xml:space="preserve">无</w:t>
            </w:r>
            <w:r/>
          </w:p>
        </w:tc>
      </w:tr>
      <w:tr>
        <w:trPr>
          <w:trHeight w:val="667"/>
        </w:trPr>
        <w:tc>
          <w:tcPr>
            <w:tcW w:w="1607" w:type="dxa"/>
            <w:vAlign w:val="center"/>
            <w:vMerge w:val="continue"/>
            <w:textDirection w:val="lrTb"/>
            <w:noWrap w:val="false"/>
          </w:tcPr>
          <w:p>
            <w:pPr>
              <w:jc w:val="center"/>
              <w:spacing w:after="160"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after="160" w:line="278" w:lineRule="auto"/>
              <w:rPr>
                <w:rFonts w:ascii="Times New Roman" w:hAnsi="Times New Roman"/>
                <w:szCs w:val="24"/>
              </w:rPr>
            </w:pPr>
            <w:r>
              <w:rPr>
                <w:rFonts w:hint="eastAsia" w:ascii="Times New Roman" w:hAnsi="Times New Roman"/>
                <w:szCs w:val="24"/>
              </w:rPr>
              <w:t xml:space="preserve">果园高中（项里高中）</w:t>
            </w:r>
            <w:r/>
          </w:p>
        </w:tc>
      </w:tr>
      <w:tr>
        <w:trPr>
          <w:trHeight w:val="772"/>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after="160" w:line="278" w:lineRule="auto"/>
              <w:rPr>
                <w:rFonts w:ascii="Times New Roman" w:hAnsi="Times New Roman"/>
                <w:szCs w:val="24"/>
              </w:rPr>
            </w:pPr>
            <w:r>
              <w:rPr>
                <w:rFonts w:ascii="Times New Roman" w:hAnsi="Times New Roman"/>
                <w:szCs w:val="24"/>
              </w:rPr>
              <w:t xml:space="preserve">无</w:t>
            </w:r>
            <w:r/>
          </w:p>
        </w:tc>
      </w:tr>
      <w:tr>
        <w:trPr>
          <w:trHeight w:val="66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after="160" w:line="278" w:lineRule="auto"/>
              <w:rPr>
                <w:rFonts w:ascii="Times New Roman" w:hAnsi="Times New Roman"/>
                <w:szCs w:val="24"/>
              </w:rPr>
            </w:pPr>
            <w:r>
              <w:rPr>
                <w:rFonts w:ascii="Times New Roman" w:hAnsi="Times New Roman"/>
                <w:szCs w:val="24"/>
              </w:rPr>
              <w:t xml:space="preserve">乙方</w:t>
            </w:r>
            <w:r>
              <w:rPr>
                <w:rFonts w:hint="eastAsia" w:ascii="Times New Roman" w:hAnsi="Times New Roman"/>
                <w:szCs w:val="24"/>
              </w:rPr>
              <w:t xml:space="preserve">负责并承担货物的保险</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3年（自验收合格之日起计算）</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货物质量缺陷</w:t>
            </w:r>
            <w:r/>
          </w:p>
          <w:p>
            <w:pPr>
              <w:jc w:val="left"/>
              <w:spacing w:after="160" w:line="278" w:lineRule="auto"/>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签订合同时依据招标文件、投标文件确定具体内容。</w:t>
            </w:r>
            <w:r/>
          </w:p>
        </w:tc>
      </w:tr>
      <w:tr>
        <w:trPr>
          <w:trHeight w:val="736"/>
        </w:trPr>
        <w:tc>
          <w:tcPr>
            <w:tcW w:w="1607" w:type="dxa"/>
            <w:vAlign w:val="center"/>
            <w:textDirection w:val="lrTb"/>
            <w:noWrap w:val="false"/>
          </w:tcPr>
          <w:p>
            <w:pPr>
              <w:jc w:val="center"/>
              <w:spacing w:after="160" w:line="278" w:lineRule="auto"/>
              <w:rPr>
                <w:rFonts w:hint="eastAsia" w:ascii="宋体" w:hAnsi="宋体" w:cs="宋体"/>
                <w:szCs w:val="21"/>
              </w:rPr>
            </w:pPr>
            <w:r>
              <w:rPr>
                <w:rFonts w:hint="eastAsia" w:ascii="宋体" w:hAnsi="宋体" w:cs="宋体"/>
                <w:szCs w:val="21"/>
              </w:rPr>
              <w:t xml:space="preserve">第二节</w:t>
            </w:r>
            <w:r/>
          </w:p>
          <w:p>
            <w:pPr>
              <w:jc w:val="center"/>
              <w:spacing w:after="160"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after="160" w:line="278" w:lineRule="auto"/>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无</w:t>
            </w:r>
            <w:r/>
          </w:p>
        </w:tc>
      </w:tr>
      <w:tr>
        <w:trPr>
          <w:trHeight w:val="1150"/>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spacing w:after="160" w:line="278" w:lineRule="auto"/>
              <w:rPr>
                <w:rFonts w:hint="eastAsia" w:ascii="宋体" w:hAnsi="宋体"/>
                <w:color w:val="ff0000"/>
                <w:szCs w:val="21"/>
              </w:rPr>
            </w:pPr>
            <w:r>
              <w:rPr>
                <w:rFonts w:hint="eastAsia" w:ascii="宋体" w:hAnsi="宋体"/>
                <w:szCs w:val="21"/>
              </w:rPr>
              <w:t xml:space="preserve">资金支付的时间：收到乙方发票10个工作日内；资金支付的条件：满足相应阶段的要求且收到乙方发票。</w:t>
            </w:r>
            <w:r/>
          </w:p>
        </w:tc>
      </w:tr>
      <w:tr>
        <w:trPr>
          <w:trHeight w:val="697"/>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除不可抗力外，乙方不履行与甲方订立的采购合同的，履约保证金不予退还，给甲方造成的损失超过履约保证金数额的，还应当对超过部分予以赔偿。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履约保证金退还时间：项目验收合格，出具验收报告及履约保证金收据申请退付，甲方收到乙方退付申请后5个工作日内退还。</w:t>
            </w:r>
            <w:r/>
          </w:p>
          <w:p>
            <w:pPr>
              <w:jc w:val="left"/>
              <w:spacing w:after="160" w:line="278" w:lineRule="auto"/>
              <w:rPr>
                <w:rFonts w:hint="eastAsia" w:ascii="宋体" w:hAnsi="宋体"/>
                <w:szCs w:val="21"/>
              </w:rPr>
            </w:pPr>
            <w:r>
              <w:rPr>
                <w:rFonts w:hint="eastAsia" w:ascii="宋体" w:hAnsi="宋体"/>
                <w:szCs w:val="21"/>
              </w:rPr>
              <w:t xml:space="preserve">逾期退还履约保证金的违约责任：除应当退还履约保证金外，还应当按中国人民银行同期贷款基准利率上浮 20％后的利率支付超期资金占用费，但因乙方自身原因导致无法及时退还的除外。</w:t>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3年（自验收合格之日起计算）</w:t>
            </w:r>
            <w:r/>
          </w:p>
        </w:tc>
      </w:tr>
      <w:tr>
        <w:trPr>
          <w:trHeight w:val="784"/>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签订合同时依据招标文件、投标文件确定具体内容。</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经甲方确认供货完成后，乙方应在规定时间内完成货物的安装、调试的工作，对于安装、调试出现质量问题的，乙方应及时更换新的产品，确保货物质量。</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乙方应按逾期交货总额每日</w:t>
            </w:r>
            <w:r>
              <w:rPr>
                <w:rFonts w:hint="eastAsia" w:ascii="宋体" w:hAnsi="宋体"/>
                <w:szCs w:val="21"/>
                <w:u w:val="single"/>
              </w:rPr>
              <w:t xml:space="preserve">   </w:t>
            </w:r>
            <w:r>
              <w:rPr>
                <w:rFonts w:hint="eastAsia" w:ascii="宋体" w:hAnsi="宋体"/>
                <w:szCs w:val="21"/>
              </w:rPr>
              <w:t xml:space="preserve">%向甲方支付违约金</w:t>
            </w:r>
            <w:r/>
          </w:p>
        </w:tc>
      </w:tr>
      <w:tr>
        <w:trPr>
          <w:trHeight w:val="736"/>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甲方应按逾期付款总额每日</w:t>
            </w:r>
            <w:r>
              <w:rPr>
                <w:rFonts w:hint="eastAsia" w:ascii="宋体" w:hAnsi="宋体"/>
                <w:szCs w:val="21"/>
                <w:u w:val="single"/>
              </w:rPr>
              <w:t xml:space="preserve">   </w:t>
            </w:r>
            <w:r>
              <w:rPr>
                <w:rFonts w:hint="eastAsia" w:ascii="宋体" w:hAnsi="宋体"/>
                <w:szCs w:val="21"/>
              </w:rPr>
              <w:t xml:space="preserve">%向乙方支付违约金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1.甲方无正当理由拒收货物的，甲方向乙方偿付拒收货款总值</w:t>
            </w:r>
            <w:r>
              <w:rPr>
                <w:rFonts w:hint="eastAsia" w:ascii="宋体" w:hAnsi="宋体"/>
                <w:szCs w:val="21"/>
                <w:u w:val="single"/>
              </w:rPr>
              <w:t xml:space="preserve">   </w:t>
            </w:r>
            <w:r>
              <w:rPr>
                <w:rFonts w:hint="eastAsia" w:ascii="宋体" w:hAnsi="宋体"/>
                <w:szCs w:val="21"/>
              </w:rPr>
              <w:t xml:space="preserve">%的违约金。</w:t>
            </w:r>
            <w:r/>
          </w:p>
          <w:p>
            <w:pPr>
              <w:jc w:val="left"/>
              <w:spacing w:after="160" w:line="278" w:lineRule="auto"/>
              <w:rPr>
                <w:rFonts w:hint="eastAsia" w:ascii="宋体" w:hAnsi="宋体"/>
                <w:szCs w:val="21"/>
              </w:rPr>
            </w:pPr>
            <w:r>
              <w:rPr>
                <w:rFonts w:hint="eastAsia" w:ascii="宋体" w:hAnsi="宋体"/>
                <w:szCs w:val="21"/>
              </w:rPr>
              <w:t xml:space="preserve">2.乙方逾期交付货物的，逾期超过约定日期10个工作日不能交货的，甲方可解除本合同。乙方因逾期交货或因其他违约行为导致甲方解除合同的，乙方应向甲方支付合同总值</w:t>
            </w:r>
            <w:r>
              <w:rPr>
                <w:rFonts w:hint="eastAsia" w:ascii="宋体" w:hAnsi="宋体"/>
                <w:szCs w:val="21"/>
                <w:u w:val="single"/>
              </w:rPr>
              <w:t xml:space="preserve">   </w:t>
            </w:r>
            <w:r>
              <w:rPr>
                <w:rFonts w:hint="eastAsia" w:ascii="宋体" w:hAnsi="宋体"/>
                <w:szCs w:val="21"/>
              </w:rPr>
              <w:t xml:space="preserve">%的违约金，如造成甲方损失超过违约金的，超出部分由乙方继续承担赔偿责任。</w:t>
            </w:r>
            <w:r/>
          </w:p>
          <w:p>
            <w:pPr>
              <w:jc w:val="left"/>
              <w:spacing w:after="160" w:line="278" w:lineRule="auto"/>
              <w:rPr>
                <w:rFonts w:hint="eastAsia" w:ascii="宋体" w:hAnsi="宋体"/>
                <w:szCs w:val="21"/>
              </w:rPr>
            </w:pPr>
            <w:r>
              <w:rPr>
                <w:rFonts w:hint="eastAsia" w:ascii="宋体" w:hAnsi="宋体"/>
                <w:szCs w:val="21"/>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after="160"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 xml:space="preserve">种方式解决：</w:t>
            </w:r>
            <w:r/>
          </w:p>
          <w:p>
            <w:pPr>
              <w:jc w:val="left"/>
              <w:spacing w:after="160"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spacing w:after="160" w:line="278" w:lineRule="auto"/>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spacing w:after="160" w:line="278" w:lineRule="auto"/>
              <w:rPr>
                <w:rFonts w:hint="eastAsia" w:ascii="宋体" w:hAnsi="宋体"/>
                <w:szCs w:val="21"/>
              </w:rPr>
            </w:pPr>
            <w:r>
              <w:rPr>
                <w:rFonts w:hint="eastAsia" w:ascii="宋体" w:hAnsi="宋体"/>
                <w:szCs w:val="21"/>
              </w:rPr>
              <w:t xml:space="preserve">第二节</w:t>
            </w:r>
            <w:r/>
          </w:p>
          <w:p>
            <w:pPr>
              <w:jc w:val="center"/>
              <w:spacing w:after="160" w:line="278" w:lineRule="auto"/>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spacing w:after="160" w:line="278" w:lineRule="auto"/>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无</w:t>
            </w:r>
            <w:r/>
          </w:p>
        </w:tc>
      </w:tr>
    </w:tbl>
    <w:p>
      <w:pPr>
        <w:jc w:val="center"/>
        <w:keepLines/>
        <w:keepNext/>
        <w:pageBreakBefore/>
        <w:rPr>
          <w:b/>
          <w:sz w:val="44"/>
          <w:szCs w:val="44"/>
        </w:rPr>
        <w:outlineLvl w:val="0"/>
      </w:pPr>
      <w:r>
        <w:rPr>
          <w:rFonts w:hint="eastAsia"/>
          <w:b/>
          <w:sz w:val="44"/>
          <w:szCs w:val="44"/>
        </w:rPr>
        <w:t xml:space="preserve">第六章  投标文件格式</w:t>
      </w:r>
      <w:bookmarkEnd w:id="139"/>
      <w:r/>
      <w:bookmarkEnd w:id="140"/>
      <w:r/>
      <w:bookmarkEnd w:id="141"/>
      <w:r/>
      <w:bookmarkEnd w:id="142"/>
      <w:r/>
      <w:bookmarkEnd w:id="143"/>
      <w:r/>
      <w:bookmarkEnd w:id="144"/>
      <w:r/>
      <w:r/>
    </w:p>
    <w:p>
      <w:r/>
      <w:bookmarkStart w:id="149" w:name="EB819316f773b24a75aef829f9b72900c0"/>
      <w:r/>
      <w:r/>
    </w:p>
    <w:p>
      <w:pPr>
        <w:rPr>
          <w:rFonts w:ascii="Times New Roman" w:hAnsi="Times New Roman"/>
          <w:b/>
          <w:sz w:val="72"/>
        </w:rPr>
      </w:pPr>
      <w:r/>
      <w:bookmarkStart w:id="150"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0"/>
      <w:r/>
      <w:r/>
    </w:p>
    <w:p>
      <w:pPr>
        <w:pStyle w:val="1063"/>
        <w:rPr>
          <w:rFonts w:hint="eastAsia" w:ascii="宋体" w:hAnsi="宋体" w:eastAsia="宋体" w:cs="宋体"/>
        </w:rPr>
      </w:pPr>
      <w:r>
        <w:rPr>
          <w:rFonts w:hint="eastAsia" w:ascii="宋体" w:hAnsi="宋体" w:eastAsia="宋体" w:cs="宋体"/>
        </w:rPr>
      </w:r>
      <w:r/>
    </w:p>
    <w:p>
      <w:pPr>
        <w:pStyle w:val="1063"/>
        <w:rPr>
          <w:rFonts w:hint="eastAsia" w:ascii="宋体" w:hAnsi="宋体" w:eastAsia="宋体" w:cs="宋体"/>
        </w:rPr>
      </w:pPr>
      <w:r>
        <w:rPr>
          <w:rFonts w:hint="eastAsia" w:ascii="宋体" w:hAnsi="宋体" w:eastAsia="宋体" w:cs="宋体"/>
        </w:rPr>
      </w:r>
      <w:r/>
    </w:p>
    <w:p>
      <w:pPr>
        <w:pStyle w:val="1063"/>
        <w:rPr>
          <w:rFonts w:hint="eastAsia" w:ascii="宋体" w:hAnsi="宋体" w:eastAsia="宋体" w:cs="宋体"/>
        </w:rPr>
      </w:pPr>
      <w:r>
        <w:rPr>
          <w:rFonts w:hint="eastAsia" w:ascii="宋体" w:hAnsi="宋体" w:eastAsia="宋体" w:cs="宋体"/>
        </w:rPr>
      </w:r>
      <w:r/>
    </w:p>
    <w:p>
      <w:pPr>
        <w:pStyle w:val="1063"/>
        <w:rPr>
          <w:rFonts w:hint="eastAsia" w:ascii="宋体" w:hAnsi="宋体" w:eastAsia="宋体" w:cs="宋体"/>
        </w:rPr>
      </w:pPr>
      <w:r>
        <w:rPr>
          <w:rFonts w:hint="eastAsia" w:ascii="宋体" w:hAnsi="宋体" w:eastAsia="宋体" w:cs="宋体"/>
        </w:rPr>
      </w:r>
      <w:r/>
    </w:p>
    <w:p>
      <w:pPr>
        <w:pStyle w:val="1063"/>
        <w:rPr>
          <w:rFonts w:hint="eastAsia" w:ascii="宋体" w:hAnsi="宋体" w:eastAsia="宋体" w:cs="宋体"/>
        </w:rPr>
      </w:pPr>
      <w:r>
        <w:rPr>
          <w:rFonts w:hint="eastAsia" w:ascii="宋体" w:hAnsi="宋体" w:eastAsia="宋体" w:cs="宋体"/>
        </w:rPr>
      </w:r>
      <w:bookmarkEnd w:id="149"/>
      <w:r/>
      <w:r/>
    </w:p>
    <w:p>
      <w:pPr>
        <w:pStyle w:val="1063"/>
        <w:rPr>
          <w:rFonts w:hint="eastAsia" w:ascii="宋体" w:hAnsi="宋体" w:eastAsia="宋体" w:cs="宋体"/>
        </w:rPr>
      </w:pPr>
      <w:r>
        <w:rPr>
          <w:rFonts w:hint="eastAsia" w:ascii="宋体" w:hAnsi="宋体" w:eastAsia="宋体" w:cs="宋体"/>
        </w:rPr>
      </w:r>
      <w:r/>
    </w:p>
    <w:p>
      <w:pPr>
        <w:pStyle w:val="1063"/>
        <w:rPr>
          <w:rFonts w:hint="eastAsia" w:ascii="宋体" w:hAnsi="宋体" w:eastAsia="宋体" w:cs="宋体"/>
        </w:rPr>
      </w:pPr>
      <w:r>
        <w:rPr>
          <w:rFonts w:hint="eastAsia" w:ascii="宋体" w:hAnsi="宋体" w:eastAsia="宋体" w:cs="宋体"/>
        </w:rPr>
      </w:r>
      <w:r/>
    </w:p>
    <w:p>
      <w:pPr>
        <w:pStyle w:val="1063"/>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63"/>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3"/>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p>
    <w:p>
      <w:pPr>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九、企业业绩</w:t>
      </w:r>
      <w:r/>
    </w:p>
    <w:p>
      <w:pPr>
        <w:spacing w:line="360" w:lineRule="auto"/>
        <w:rPr>
          <w:rFonts w:ascii="Times New Roman" w:hAnsi="Times New Roman"/>
          <w:sz w:val="28"/>
          <w:szCs w:val="28"/>
        </w:rPr>
      </w:pPr>
      <w:r>
        <w:rPr>
          <w:rFonts w:hint="eastAsia" w:ascii="Times New Roman" w:hAnsi="Times New Roman"/>
          <w:sz w:val="28"/>
          <w:szCs w:val="28"/>
        </w:rPr>
        <w:t xml:space="preserve">十、承诺函</w:t>
      </w:r>
      <w:r/>
    </w:p>
    <w:p>
      <w:pPr>
        <w:spacing w:line="360" w:lineRule="auto"/>
        <w:rPr>
          <w:rFonts w:hint="eastAsia" w:ascii="宋体" w:hAnsi="宋体" w:cs="宋体"/>
          <w:sz w:val="28"/>
          <w:szCs w:val="28"/>
        </w:rPr>
      </w:pPr>
      <w:r>
        <w:rPr>
          <w:rFonts w:hint="eastAsia" w:ascii="Times New Roman" w:hAnsi="Times New Roman"/>
          <w:sz w:val="28"/>
          <w:szCs w:val="28"/>
        </w:rPr>
        <w:t xml:space="preserve">十一、投标所需其他材料</w:t>
      </w:r>
      <w:r/>
    </w:p>
    <w:p>
      <w:r/>
      <w:bookmarkStart w:id="151" w:name="_Toc20577"/>
      <w:r/>
      <w:bookmarkStart w:id="152" w:name="_Toc26005"/>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3"/>
        <w:rPr>
          <w:rFonts w:hint="eastAsia"/>
          <w:b w:val="0"/>
          <w:bCs/>
        </w:rPr>
        <w:outlineLvl w:val="1"/>
      </w:pPr>
      <w:r/>
      <w:bookmarkStart w:id="153" w:name="_Toc8978"/>
      <w:r>
        <w:rPr>
          <w:rFonts w:hint="eastAsia"/>
          <w:b w:val="0"/>
          <w:bCs/>
        </w:rPr>
        <w:br w:type="page" w:clear="all"/>
      </w:r>
      <w:r>
        <w:rPr>
          <w:rFonts w:hint="eastAsia"/>
          <w:b w:val="0"/>
          <w:bCs/>
        </w:rPr>
        <w:t xml:space="preserve">一</w:t>
      </w:r>
      <w:r>
        <w:rPr>
          <w:b w:val="0"/>
          <w:bCs/>
        </w:rPr>
        <w:t xml:space="preserve">、投标函</w:t>
      </w:r>
      <w:bookmarkEnd w:id="151"/>
      <w:r/>
      <w:bookmarkEnd w:id="152"/>
      <w:r/>
      <w:bookmarkEnd w:id="153"/>
      <w:r/>
      <w:r/>
    </w:p>
    <w:p>
      <w:pPr>
        <w:pStyle w:val="1074"/>
        <w:jc w:val="center"/>
        <w:rPr>
          <w:rFonts w:ascii="方正小标宋_GBK" w:eastAsia="方正小标宋_GBK"/>
          <w:bCs/>
          <w:sz w:val="32"/>
          <w:szCs w:val="32"/>
        </w:rPr>
      </w:pPr>
      <w:r>
        <w:rPr>
          <w:rFonts w:ascii="方正小标宋_GBK" w:eastAsia="方正小标宋_GBK"/>
          <w:bCs/>
          <w:sz w:val="32"/>
          <w:szCs w:val="32"/>
        </w:rPr>
      </w:r>
      <w:r/>
    </w:p>
    <w:p>
      <w:pPr>
        <w:pStyle w:val="1074"/>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74"/>
        <w:jc w:val="left"/>
        <w:spacing w:line="500" w:lineRule="exact"/>
        <w:rPr>
          <w:rFonts w:hint="eastAsia" w:ascii="宋体" w:hAnsi="宋体"/>
          <w:sz w:val="24"/>
          <w:szCs w:val="24"/>
          <w:u w:val="single"/>
        </w:rPr>
      </w:pPr>
      <w:r>
        <w:rPr>
          <w:rFonts w:hint="eastAsia" w:ascii="宋体" w:hAnsi="宋体"/>
          <w:sz w:val="24"/>
          <w:szCs w:val="24"/>
          <w:u w:val="single"/>
        </w:rPr>
        <w:t xml:space="preserve">（采购单位名称）：</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pStyle w:val="1074"/>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74"/>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74"/>
        <w:jc w:val="left"/>
        <w:spacing w:line="500" w:lineRule="exact"/>
        <w:rPr>
          <w:rFonts w:hint="eastAsia" w:ascii="宋体" w:hAnsi="宋体"/>
          <w:sz w:val="24"/>
          <w:szCs w:val="24"/>
        </w:rPr>
      </w:pPr>
      <w:r>
        <w:rPr>
          <w:rFonts w:hint="eastAsia" w:ascii="宋体" w:hAnsi="宋体"/>
          <w:sz w:val="24"/>
          <w:szCs w:val="24"/>
        </w:rPr>
      </w:r>
      <w:r/>
    </w:p>
    <w:p>
      <w:pPr>
        <w:pStyle w:val="1074"/>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74"/>
        <w:ind w:firstLine="480"/>
        <w:rPr>
          <w:rFonts w:hint="eastAsia" w:ascii="宋体" w:hAnsi="宋体"/>
          <w:sz w:val="24"/>
          <w:szCs w:val="24"/>
        </w:rPr>
      </w:pPr>
      <w:r>
        <w:rPr>
          <w:rFonts w:hint="eastAsia" w:ascii="宋体" w:hAnsi="宋体"/>
          <w:sz w:val="24"/>
          <w:szCs w:val="24"/>
        </w:rPr>
      </w:r>
      <w:r/>
    </w:p>
    <w:p>
      <w:pPr>
        <w:pStyle w:val="1074"/>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54" w:name="_Toc3680"/>
      <w:r/>
      <w:bookmarkStart w:id="155" w:name="_Toc29506"/>
      <w:r/>
      <w:bookmarkStart w:id="156" w:name="_Toc27409"/>
      <w:r>
        <w:rPr>
          <w:rFonts w:hint="eastAsia" w:ascii="黑体" w:hAnsi="黑体" w:eastAsia="黑体" w:cs="黑体"/>
          <w:bCs/>
          <w:sz w:val="32"/>
          <w:szCs w:val="24"/>
        </w:rPr>
        <w:t xml:space="preserve">二、</w:t>
      </w:r>
      <w:bookmarkEnd w:id="154"/>
      <w:r/>
      <w:bookmarkEnd w:id="155"/>
      <w:r>
        <w:rPr>
          <w:rFonts w:hint="eastAsia" w:ascii="黑体" w:hAnsi="黑体" w:eastAsia="黑体" w:cs="黑体"/>
          <w:bCs/>
          <w:sz w:val="32"/>
          <w:szCs w:val="24"/>
        </w:rPr>
        <w:t xml:space="preserve">法人授权书</w:t>
      </w:r>
      <w:bookmarkEnd w:id="156"/>
      <w:r/>
      <w:r/>
    </w:p>
    <w:p>
      <w:pPr>
        <w:pStyle w:val="1074"/>
        <w:jc w:val="center"/>
        <w:rPr>
          <w:rFonts w:ascii="方正小标宋_GBK" w:eastAsia="方正小标宋_GBK"/>
          <w:bCs/>
          <w:sz w:val="32"/>
          <w:szCs w:val="32"/>
        </w:rPr>
      </w:pPr>
      <w:r/>
      <w:bookmarkStart w:id="157" w:name="OLE_LINK6"/>
      <w:r>
        <w:rPr>
          <w:rFonts w:hint="eastAsia" w:ascii="方正小标宋_GBK" w:eastAsia="方正小标宋_GBK"/>
          <w:bCs/>
          <w:sz w:val="32"/>
          <w:szCs w:val="32"/>
        </w:rPr>
        <w:t xml:space="preserve">法人授权书</w:t>
      </w:r>
      <w:bookmarkEnd w:id="157"/>
      <w:r/>
      <w:r/>
    </w:p>
    <w:p>
      <w:pPr>
        <w:pStyle w:val="1194"/>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194"/>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194"/>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94"/>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94"/>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194"/>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94"/>
        <w:ind w:firstLine="482"/>
        <w:spacing w:line="480" w:lineRule="exact"/>
        <w:rPr>
          <w:rFonts w:hint="eastAsia" w:ascii="宋体" w:hAnsi="宋体"/>
          <w:sz w:val="24"/>
          <w:szCs w:val="24"/>
        </w:rPr>
      </w:pPr>
      <w:r>
        <w:rPr>
          <w:rFonts w:hint="eastAsia"/>
          <w:sz w:val="24"/>
          <w:szCs w:val="24"/>
        </w:rPr>
        <w:t xml:space="preserve">日期：</w:t>
      </w:r>
      <w:bookmarkStart w:id="158" w:name="_格式3__银行出具的资信证明"/>
      <w:r/>
      <w:bookmarkEnd w:id="158"/>
      <w:r/>
      <w:bookmarkStart w:id="159" w:name="_Hlt26955070"/>
      <w:r/>
      <w:bookmarkEnd w:id="159"/>
      <w:r/>
      <w:bookmarkStart w:id="160" w:name="_Hlt26671380"/>
      <w:r/>
      <w:bookmarkEnd w:id="160"/>
      <w:r>
        <w:rPr>
          <w:rFonts w:hint="eastAsia"/>
          <w:sz w:val="24"/>
          <w:szCs w:val="24"/>
          <w:u w:val="single"/>
        </w:rPr>
        <w:t xml:space="preserve">                                         </w:t>
      </w:r>
      <w:r/>
    </w:p>
    <w:p>
      <w:pPr>
        <w:pStyle w:val="1076"/>
        <w:ind w:firstLine="629"/>
        <w:spacing w:line="700" w:lineRule="exact"/>
        <w:rPr>
          <w:rFonts w:ascii="方正仿宋_GBK" w:eastAsia="方正仿宋_GBK"/>
          <w:sz w:val="24"/>
        </w:rPr>
      </w:pPr>
      <w:r>
        <w:rPr>
          <w:rFonts w:ascii="方正仿宋_GBK" w:eastAsia="方正仿宋_GBK"/>
          <w:sz w:val="24"/>
        </w:rPr>
      </w:r>
      <w:r/>
    </w:p>
    <w:p>
      <w:pPr>
        <w:pStyle w:val="1079"/>
        <w:rPr>
          <w:rFonts w:hint="eastAsia"/>
        </w:rPr>
        <w:outlineLvl w:val="1"/>
      </w:pPr>
      <w:r>
        <w:br w:type="page" w:clear="all"/>
      </w:r>
      <w:bookmarkStart w:id="161" w:name="_Toc13550"/>
      <w:r/>
      <w:bookmarkStart w:id="162" w:name="_Toc27199"/>
      <w:r/>
      <w:bookmarkStart w:id="163" w:name="_Toc30543"/>
      <w:r>
        <w:rPr>
          <w:rFonts w:hint="eastAsia"/>
          <w:b w:val="0"/>
          <w:bCs/>
        </w:rPr>
        <w:t xml:space="preserve">三</w:t>
      </w:r>
      <w:r>
        <w:rPr>
          <w:b w:val="0"/>
          <w:bCs/>
        </w:rPr>
        <w:t xml:space="preserve">、开标一览表</w:t>
      </w:r>
      <w:bookmarkEnd w:id="161"/>
      <w:r/>
      <w:bookmarkEnd w:id="162"/>
      <w:r/>
      <w:bookmarkEnd w:id="163"/>
      <w:r/>
      <w:r/>
    </w:p>
    <w:p>
      <w:pPr>
        <w:pStyle w:val="1080"/>
        <w:rPr>
          <w:rFonts w:hint="eastAsia" w:ascii="宋体" w:hAnsi="宋体" w:eastAsia="宋体" w:cs="宋体"/>
        </w:rPr>
      </w:pPr>
      <w:r>
        <w:rPr>
          <w:rFonts w:hint="eastAsia" w:ascii="宋体" w:hAnsi="宋体" w:eastAsia="宋体" w:cs="宋体"/>
        </w:rPr>
      </w:r>
      <w:r/>
    </w:p>
    <w:p>
      <w:pPr>
        <w:pStyle w:val="1091"/>
        <w:ind w:firstLine="442"/>
        <w:spacing w:line="480" w:lineRule="exact"/>
        <w:rPr>
          <w:rFonts w:hint="eastAsia" w:ascii="宋体" w:hAnsi="宋体" w:eastAsia="宋体" w:cs="宋体"/>
          <w:sz w:val="32"/>
          <w:lang w:val="en-US" w:eastAsia="zh-CN"/>
        </w:rPr>
      </w:pPr>
      <w:r/>
      <w:bookmarkStart w:id="164" w:name="_Toc26543"/>
      <w:r/>
      <w:bookmarkStart w:id="165" w:name="_Toc956"/>
      <w:r/>
      <w:bookmarkStart w:id="166" w:name="_Toc12614"/>
      <w:r>
        <w:rPr>
          <w:rFonts w:hint="eastAsia" w:ascii="宋体" w:hAnsi="宋体" w:eastAsia="宋体" w:cs="宋体"/>
          <w:sz w:val="32"/>
          <w:lang w:val="en-US" w:eastAsia="zh-CN"/>
        </w:rPr>
        <w:t xml:space="preserve">格式详见投标文件制作工具</w:t>
      </w:r>
      <w:r/>
    </w:p>
    <w:p>
      <w:pPr>
        <w:pStyle w:val="1091"/>
        <w:ind w:firstLine="442"/>
        <w:spacing w:line="480" w:lineRule="exact"/>
        <w:rPr>
          <w:rFonts w:hint="eastAsia" w:ascii="宋体" w:hAnsi="宋体" w:eastAsia="宋体" w:cs="宋体"/>
          <w:sz w:val="32"/>
          <w:lang w:val="en-US" w:eastAsia="zh-CN"/>
        </w:rPr>
      </w:pPr>
      <w:r>
        <w:rPr>
          <w:rFonts w:hint="eastAsia" w:ascii="宋体" w:hAnsi="宋体" w:eastAsia="宋体" w:cs="宋体"/>
          <w:sz w:val="32"/>
          <w:lang w:val="en-US" w:eastAsia="zh-CN"/>
        </w:rPr>
      </w:r>
      <w:r/>
    </w:p>
    <w:p>
      <w:pPr>
        <w:pStyle w:val="1082"/>
        <w:rPr>
          <w:rFonts w:hint="eastAsia"/>
        </w:rPr>
        <w:outlineLvl w:val="1"/>
      </w:pPr>
      <w:r>
        <w:rPr>
          <w:rFonts w:hint="eastAsia"/>
          <w:b w:val="0"/>
          <w:bCs/>
        </w:rPr>
        <w:t xml:space="preserve">四</w:t>
      </w:r>
      <w:r>
        <w:rPr>
          <w:b w:val="0"/>
          <w:bCs/>
        </w:rPr>
        <w:t xml:space="preserve">、</w:t>
      </w:r>
      <w:bookmarkEnd w:id="164"/>
      <w:r/>
      <w:bookmarkEnd w:id="165"/>
      <w:r>
        <w:rPr>
          <w:rFonts w:hint="eastAsia"/>
          <w:b w:val="0"/>
          <w:bCs/>
        </w:rPr>
        <w:t xml:space="preserve">分项报价表</w:t>
      </w:r>
      <w:bookmarkEnd w:id="166"/>
      <w:r/>
      <w:r/>
    </w:p>
    <w:p>
      <w:pPr>
        <w:pStyle w:val="1074"/>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74"/>
        <w:jc w:val="center"/>
        <w:rPr>
          <w:b/>
          <w:bCs/>
        </w:rPr>
      </w:pPr>
      <w:r>
        <w:rPr>
          <w:b/>
          <w:bCs/>
        </w:rPr>
      </w:r>
      <w:r/>
    </w:p>
    <w:tbl>
      <w:tblPr>
        <w:tblStyle w:val="79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171"/>
              <w:jc w:val="center"/>
              <w:spacing w:line="500" w:lineRule="exact"/>
              <w:rPr>
                <w:rFonts w:hint="eastAsia"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71"/>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71"/>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29"/>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ind w:firstLine="480"/>
        <w:spacing w:line="400" w:lineRule="exact"/>
        <w:rPr>
          <w:rFonts w:ascii="Times New Roman" w:hAnsi="Times New Roman" w:cs="方正魏碑_GBK"/>
          <w:color w:val="ff0000"/>
          <w:sz w:val="24"/>
          <w:szCs w:val="28"/>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rPr>
      </w:pPr>
      <w:r>
        <w:rPr>
          <w:rFonts w:hint="eastAsia" w:ascii="宋体" w:hAnsi="宋体"/>
          <w:sz w:val="24"/>
          <w:szCs w:val="24"/>
        </w:rPr>
      </w:r>
      <w:r/>
    </w:p>
    <w:p>
      <w:pPr>
        <w:pStyle w:val="1074"/>
        <w:jc w:val="center"/>
      </w:pPr>
      <w:r/>
      <w:bookmarkStart w:id="167" w:name="_Toc17418"/>
      <w:r/>
      <w:r/>
    </w:p>
    <w:p>
      <w:pPr>
        <w:pStyle w:val="1108"/>
        <w:rPr>
          <w:rFonts w:hint="eastAsia"/>
          <w:b w:val="0"/>
          <w:bCs/>
        </w:rPr>
        <w:outlineLvl w:val="1"/>
      </w:pPr>
      <w:r/>
      <w:bookmarkStart w:id="168" w:name="_Toc21129"/>
      <w:r/>
      <w:bookmarkStart w:id="169" w:name="_Toc2747"/>
      <w:r>
        <w:rPr>
          <w:rFonts w:hint="eastAsia"/>
          <w:b w:val="0"/>
          <w:bCs/>
        </w:rPr>
        <w:t xml:space="preserve">五、中小企业或残疾人福利性单位声明函</w:t>
      </w:r>
      <w:bookmarkEnd w:id="167"/>
      <w:r/>
      <w:bookmarkEnd w:id="168"/>
      <w:r/>
      <w:bookmarkEnd w:id="169"/>
      <w:r/>
      <w:r/>
    </w:p>
    <w:p>
      <w:pPr>
        <w:pStyle w:val="1091"/>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格式详见投标文件制作工具</w:t>
      </w:r>
      <w:r/>
    </w:p>
    <w:p>
      <w:pPr>
        <w:pStyle w:val="1091"/>
        <w:spacing w:line="480" w:lineRule="exact"/>
        <w:rPr>
          <w:rFonts w:ascii="Times New Roman" w:hAnsi="Times New Roman"/>
          <w:sz w:val="24"/>
          <w:szCs w:val="24"/>
        </w:rPr>
      </w:pPr>
      <w:r>
        <w:rPr>
          <w:rFonts w:ascii="Times New Roman" w:hAnsi="Times New Roman"/>
          <w:sz w:val="24"/>
          <w:szCs w:val="24"/>
        </w:rPr>
      </w:r>
      <w:r/>
    </w:p>
    <w:p>
      <w:pPr>
        <w:pStyle w:val="1091"/>
        <w:spacing w:line="480" w:lineRule="exact"/>
        <w:rPr>
          <w:rFonts w:ascii="Times New Roman" w:hAnsi="Times New Roman"/>
          <w:sz w:val="24"/>
          <w:szCs w:val="24"/>
        </w:rPr>
      </w:pPr>
      <w:r>
        <w:rPr>
          <w:rFonts w:ascii="Times New Roman" w:hAnsi="Times New Roman"/>
          <w:sz w:val="24"/>
          <w:szCs w:val="24"/>
        </w:rPr>
      </w:r>
      <w:r/>
    </w:p>
    <w:p>
      <w:pPr>
        <w:pStyle w:val="782"/>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p>
    <w:p>
      <w:pPr>
        <w:pStyle w:val="1091"/>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格式详见投标文件制作工具</w:t>
      </w:r>
      <w:r/>
    </w:p>
    <w:p>
      <w:pPr>
        <w:rPr>
          <w:rFonts w:hint="eastAsia" w:ascii="宋体" w:hAnsi="宋体"/>
          <w:bCs/>
        </w:rPr>
      </w:pPr>
      <w:r>
        <w:rPr>
          <w:rFonts w:hint="eastAsia" w:ascii="宋体" w:hAnsi="宋体"/>
          <w:bCs/>
        </w:rPr>
        <w:br w:type="page" w:clear="all"/>
      </w:r>
      <w:r/>
    </w:p>
    <w:p>
      <w:pPr>
        <w:pStyle w:val="782"/>
        <w:spacing w:before="0" w:after="0" w:line="520" w:lineRule="exact"/>
        <w:rPr>
          <w:rFonts w:hint="eastAsia" w:ascii="宋体" w:hAnsi="宋体" w:eastAsia="宋体" w:cs="宋体"/>
          <w:bCs/>
          <w:szCs w:val="32"/>
        </w:rPr>
      </w:pP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Style w:val="79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sz w:val="28"/>
              </w:rPr>
            </w:pPr>
            <w:r>
              <w:rPr>
                <w:rFonts w:hint="eastAsia" w:ascii="宋体" w:hAnsi="宋体" w:cs="仿宋"/>
                <w:sz w:val="28"/>
              </w:rPr>
              <w:t xml:space="preserve">偏离情况</w:t>
            </w:r>
            <w:r/>
          </w:p>
          <w:p>
            <w:pPr>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29"/>
        <w:ind w:firstLine="482"/>
        <w:jc w:val="both"/>
        <w:spacing w:before="0" w:beforeAutospacing="0" w:after="0" w:afterAutospacing="0" w:line="400" w:lineRule="exact"/>
        <w:widowControl w:val="off"/>
        <w:rPr>
          <w:rFonts w:hint="eastAsia" w:cs="仿宋"/>
          <w:b/>
          <w:bCs/>
          <w:szCs w:val="28"/>
        </w:rPr>
      </w:pPr>
      <w:r>
        <w:rPr>
          <w:rFonts w:hint="eastAsia" w:cs="仿宋"/>
          <w:b/>
          <w:bCs/>
          <w:szCs w:val="28"/>
        </w:rPr>
      </w:r>
      <w:r/>
    </w:p>
    <w:p>
      <w:pPr>
        <w:pStyle w:val="829"/>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170"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829"/>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bookmarkEnd w:id="170"/>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pStyle w:val="782"/>
        <w:rPr>
          <w:rFonts w:hint="eastAsia" w:ascii="宋体" w:hAnsi="宋体" w:eastAsia="宋体" w:cs="宋体"/>
          <w:bCs/>
        </w:rPr>
      </w:pPr>
      <w:r/>
      <w:bookmarkStart w:id="171" w:name="_Toc15871"/>
      <w:r/>
      <w:bookmarkStart w:id="172" w:name="_Toc25337"/>
      <w:r>
        <w:rPr>
          <w:rFonts w:hint="eastAsia" w:ascii="宋体" w:hAnsi="宋体" w:eastAsia="宋体" w:cs="宋体"/>
          <w:bCs/>
        </w:rPr>
        <w:t xml:space="preserve">八、项目组人员</w:t>
      </w:r>
      <w:r/>
    </w:p>
    <w:tbl>
      <w:tblPr>
        <w:tblStyle w:val="79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0"/>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280"/>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0"/>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0"/>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ascii="Times New Roman" w:hAnsi="Times New Roman" w:cs="宋体"/>
          <w:color w:val="ff0000"/>
          <w:sz w:val="24"/>
          <w:szCs w:val="20"/>
        </w:rPr>
      </w:pPr>
      <w:r>
        <w:rPr>
          <w:rFonts w:hint="eastAsia" w:ascii="Times New Roman" w:hAnsi="Times New Roman" w:cs="宋体"/>
          <w:sz w:val="24"/>
          <w:szCs w:val="20"/>
        </w:rPr>
        <w:t xml:space="preserve">注：1.如投标人中标，项目组成员按本表承诺人员操作，不得随意更换。按采购文件要求附相关人员证书。</w:t>
      </w:r>
      <w:bookmarkStart w:id="173" w:name="_格式2__法定代表人授权书"/>
      <w:r/>
      <w:bookmarkEnd w:id="173"/>
      <w:r>
        <w:rPr>
          <w:rFonts w:hint="eastAsia" w:ascii="Times New Roman" w:hAnsi="Times New Roman" w:cs="宋体"/>
          <w:sz w:val="24"/>
          <w:szCs w:val="20"/>
        </w:rPr>
        <w:t xml:space="preserve">2.</w:t>
      </w:r>
      <w:bookmarkStart w:id="174" w:name="OLE_LINK8"/>
      <w:r>
        <w:rPr>
          <w:rFonts w:hint="eastAsia" w:ascii="Times New Roman" w:hAnsi="Times New Roman" w:cs="宋体"/>
          <w:sz w:val="24"/>
          <w:szCs w:val="20"/>
        </w:rPr>
        <w:t xml:space="preserve">中标后，本表（身份证信息除外）将随中标结果公告公开。</w:t>
      </w:r>
      <w:bookmarkEnd w:id="174"/>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210"/>
        <w:rPr>
          <w:rFonts w:hint="eastAsia" w:ascii="仿宋" w:hAnsi="仿宋" w:eastAsia="仿宋" w:cs="仿宋"/>
          <w:szCs w:val="21"/>
        </w:rPr>
      </w:pPr>
      <w:r>
        <w:rPr>
          <w:rFonts w:hint="eastAsia" w:ascii="仿宋" w:hAnsi="仿宋" w:eastAsia="仿宋" w:cs="仿宋"/>
          <w:szCs w:val="21"/>
        </w:rPr>
      </w:r>
      <w:r/>
    </w:p>
    <w:p>
      <w:pPr>
        <w:pStyle w:val="1108"/>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九、企业业绩</w:t>
      </w:r>
      <w:bookmarkEnd w:id="171"/>
      <w:r/>
      <w:bookmarkEnd w:id="172"/>
      <w:r/>
      <w:r/>
    </w:p>
    <w:p>
      <w:pPr>
        <w:pStyle w:val="1116"/>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75"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116"/>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75"/>
      <w:r/>
      <w:r/>
    </w:p>
    <w:tbl>
      <w:tblPr>
        <w:tblStyle w:val="79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80"/>
              <w:jc w:val="center"/>
              <w:spacing w:line="500" w:lineRule="exact"/>
              <w:widowControl/>
              <w:rPr>
                <w:rFonts w:hint="eastAsia" w:ascii="宋体" w:hAnsi="宋体" w:cs="仿宋"/>
                <w:sz w:val="28"/>
                <w:szCs w:val="28"/>
              </w:rPr>
            </w:pPr>
            <w:r>
              <w:rPr>
                <w:rFonts w:hint="eastAsia" w:ascii="宋体" w:hAnsi="宋体" w:cs="仿宋"/>
                <w:sz w:val="28"/>
                <w:szCs w:val="28"/>
              </w:rPr>
              <w:t xml:space="preserve">序</w:t>
            </w:r>
            <w:r/>
          </w:p>
          <w:p>
            <w:pPr>
              <w:pStyle w:val="1180"/>
              <w:jc w:val="center"/>
              <w:spacing w:line="500" w:lineRule="exact"/>
              <w:widowControl/>
              <w:rPr>
                <w:rFonts w:hint="eastAsia"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80"/>
              <w:jc w:val="center"/>
              <w:spacing w:line="500" w:lineRule="exact"/>
              <w:widowControl/>
              <w:rPr>
                <w:rFonts w:hint="eastAsia"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80"/>
              <w:jc w:val="center"/>
              <w:spacing w:line="500" w:lineRule="exact"/>
              <w:widowControl/>
              <w:rPr>
                <w:rFonts w:hint="eastAsia"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80"/>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80"/>
              <w:jc w:val="center"/>
              <w:spacing w:line="500" w:lineRule="exact"/>
              <w:widowControl/>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7"/>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spacing w:line="480" w:lineRule="exact"/>
        <w:rPr>
          <w:rFonts w:hint="eastAsia" w:ascii="宋体" w:hAnsi="黑体" w:eastAsia="黑体" w:cs="黑体"/>
          <w:sz w:val="32"/>
          <w:szCs w:val="32"/>
        </w:rPr>
        <w:outlineLvl w:val="1"/>
      </w:pPr>
      <w:r/>
      <w:bookmarkStart w:id="176" w:name="_Toc9275"/>
      <w:r/>
      <w:bookmarkStart w:id="177"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十</w:t>
      </w:r>
      <w:r>
        <w:rPr>
          <w:rFonts w:ascii="宋体" w:hAnsi="黑体" w:eastAsia="黑体" w:cs="黑体"/>
          <w:sz w:val="32"/>
          <w:szCs w:val="32"/>
        </w:rPr>
        <w:t xml:space="preserve">、承诺函</w:t>
      </w:r>
      <w:r/>
    </w:p>
    <w:p>
      <w:pPr>
        <w:pStyle w:val="113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1137"/>
        <w:ind w:firstLine="2560"/>
        <w:spacing w:line="360" w:lineRule="auto"/>
        <w:rPr>
          <w:rFonts w:ascii="Times New Roman" w:hAnsi="Times New Roman" w:cs="方正仿宋_GBK"/>
          <w:sz w:val="28"/>
          <w:szCs w:val="28"/>
          <w:u w:val="single"/>
        </w:rPr>
      </w:pPr>
      <w:r>
        <w:rPr>
          <w:rFonts w:hint="eastAsia" w:ascii="宋体" w:hAnsi="黑体" w:eastAsia="黑体" w:cs="黑体"/>
          <w:sz w:val="32"/>
          <w:szCs w:val="32"/>
        </w:rPr>
        <w:t xml:space="preserve">承诺函（采购包1）</w:t>
      </w:r>
      <w:r/>
    </w:p>
    <w:p>
      <w:pPr>
        <w:pStyle w:val="1137"/>
        <w:spacing w:line="360" w:lineRule="auto"/>
        <w:rPr>
          <w:rFonts w:ascii="Times New Roman" w:hAnsi="Times New Roman" w:cs="方正仿宋_GBK"/>
          <w:sz w:val="28"/>
          <w:szCs w:val="28"/>
        </w:rPr>
      </w:pPr>
      <w:r>
        <w:rPr>
          <w:rFonts w:hint="eastAsia" w:ascii="Times New Roman" w:hAnsi="Times New Roman" w:cs="方正仿宋_GBK"/>
          <w:sz w:val="28"/>
          <w:szCs w:val="28"/>
          <w:u w:val="single"/>
        </w:rPr>
        <w:t xml:space="preserve">宿迁市教育局、宿迁市楚润数据集团有限公司</w:t>
      </w:r>
      <w:bookmarkStart w:id="178" w:name="_GoBack"/>
      <w:r/>
      <w:bookmarkEnd w:id="178"/>
      <w:r>
        <w:rPr>
          <w:rFonts w:hint="eastAsia" w:ascii="Times New Roman" w:hAnsi="Times New Roman" w:cs="方正仿宋_GBK"/>
          <w:sz w:val="28"/>
          <w:szCs w:val="28"/>
        </w:rPr>
        <w:t xml:space="preserve">：</w:t>
      </w:r>
      <w:r/>
    </w:p>
    <w:p>
      <w:pPr>
        <w:ind w:firstLine="561"/>
        <w:spacing w:line="500" w:lineRule="exact"/>
        <w:rPr>
          <w:rFonts w:ascii="Times New Roman" w:hAnsi="Times New Roman" w:cs="方正仿宋_GBK"/>
          <w:sz w:val="28"/>
          <w:szCs w:val="28"/>
        </w:rPr>
      </w:pPr>
      <w:r>
        <w:rPr>
          <w:rFonts w:hint="eastAsia" w:ascii="Times New Roman" w:hAnsi="Times New Roman" w:cs="方正仿宋_GBK"/>
          <w:sz w:val="28"/>
          <w:szCs w:val="28"/>
        </w:rPr>
        <w:t xml:space="preserve">根据</w:t>
      </w:r>
      <w:r>
        <w:rPr>
          <w:rFonts w:hint="eastAsia" w:ascii="Times New Roman" w:hAnsi="Times New Roman" w:cs="方正仿宋_GBK"/>
          <w:sz w:val="28"/>
          <w:szCs w:val="28"/>
          <w:u w:val="single"/>
        </w:rPr>
        <w:t xml:space="preserve">JSZC-321300-JZCG-G2026-0021</w:t>
      </w:r>
      <w:r>
        <w:rPr>
          <w:rFonts w:hint="eastAsia" w:ascii="Times New Roman" w:hAnsi="Times New Roman" w:cs="方正仿宋_GBK"/>
          <w:sz w:val="28"/>
          <w:szCs w:val="28"/>
          <w:u w:val="single"/>
        </w:rPr>
        <w:tab/>
      </w:r>
      <w:r>
        <w:rPr>
          <w:rFonts w:hint="eastAsia" w:ascii="Times New Roman" w:hAnsi="Times New Roman" w:cs="方正仿宋_GBK"/>
          <w:b/>
          <w:bCs/>
          <w:sz w:val="28"/>
          <w:szCs w:val="28"/>
          <w:u w:val="single"/>
        </w:rPr>
        <w:t xml:space="preserve">号果园高中（项里高中）校园智能化网络工程（服务器、电脑、LED屏等）</w:t>
      </w:r>
      <w:r>
        <w:rPr>
          <w:rFonts w:hint="eastAsia" w:ascii="Times New Roman" w:hAnsi="Times New Roman" w:cs="方正仿宋_GBK"/>
          <w:sz w:val="28"/>
          <w:szCs w:val="28"/>
        </w:rPr>
        <w:t xml:space="preserve">采购文件相关要求，承诺如下：</w:t>
      </w:r>
      <w:r/>
    </w:p>
    <w:p>
      <w:pPr>
        <w:pStyle w:val="1138"/>
        <w:ind w:firstLine="561"/>
        <w:spacing w:line="500" w:lineRule="exact"/>
        <w:rPr>
          <w:rFonts w:ascii="Times New Roman" w:hAnsi="Times New Roman" w:cs="方正仿宋_GBK"/>
          <w:sz w:val="28"/>
          <w:szCs w:val="28"/>
        </w:rPr>
      </w:pPr>
      <w:r>
        <w:rPr>
          <w:rFonts w:ascii="Times New Roman" w:hAnsi="Times New Roman" w:cs="方正仿宋_GBK"/>
          <w:sz w:val="28"/>
          <w:szCs w:val="28"/>
        </w:rPr>
      </w:r>
      <w:r/>
    </w:p>
    <w:p>
      <w:pPr>
        <w:pStyle w:val="1138"/>
        <w:ind w:firstLine="561"/>
        <w:spacing w:line="500" w:lineRule="exact"/>
        <w:rPr>
          <w:rFonts w:ascii="Times New Roman" w:hAnsi="Times New Roman" w:cs="方正仿宋_GBK"/>
          <w:sz w:val="28"/>
          <w:szCs w:val="28"/>
        </w:rPr>
      </w:pPr>
      <w:r>
        <w:rPr>
          <w:rFonts w:hint="eastAsia" w:ascii="Times New Roman" w:hAnsi="Times New Roman" w:cs="方正仿宋_GBK"/>
          <w:sz w:val="28"/>
          <w:szCs w:val="28"/>
        </w:rPr>
        <w:t xml:space="preserve">1.我方所投产品将满足江苏省普通高中学业水平合格性考试（信息技术）要求，同时满足高中信息技术新课标、新教材教学要求。</w:t>
      </w:r>
      <w:r/>
    </w:p>
    <w:p>
      <w:pPr>
        <w:pStyle w:val="1138"/>
        <w:ind w:firstLine="561"/>
        <w:spacing w:line="500" w:lineRule="exact"/>
        <w:rPr>
          <w:rFonts w:ascii="Times New Roman" w:hAnsi="Times New Roman" w:cs="方正仿宋_GBK"/>
          <w:sz w:val="28"/>
          <w:szCs w:val="28"/>
        </w:rPr>
      </w:pPr>
      <w:r>
        <w:rPr>
          <w:rFonts w:hint="eastAsia" w:ascii="Times New Roman" w:hAnsi="Times New Roman" w:cs="方正仿宋_GBK"/>
          <w:sz w:val="28"/>
          <w:szCs w:val="28"/>
        </w:rPr>
        <w:t xml:space="preserve">2.我方所投的同传软件与计算机及操作系统兼容、适配。</w:t>
      </w:r>
      <w:r/>
    </w:p>
    <w:p>
      <w:pPr>
        <w:pStyle w:val="1138"/>
        <w:ind w:firstLine="561"/>
        <w:spacing w:line="500" w:lineRule="exact"/>
        <w:rPr>
          <w:rFonts w:ascii="Times New Roman" w:hAnsi="Times New Roman" w:cs="方正仿宋_GBK"/>
          <w:sz w:val="28"/>
          <w:szCs w:val="28"/>
        </w:rPr>
      </w:pPr>
      <w:r>
        <w:rPr>
          <w:rFonts w:ascii="Times New Roman" w:hAnsi="Times New Roman" w:cs="方正仿宋_GBK"/>
          <w:sz w:val="28"/>
          <w:szCs w:val="28"/>
        </w:rPr>
      </w:r>
      <w:r/>
    </w:p>
    <w:p>
      <w:pPr>
        <w:pStyle w:val="1138"/>
        <w:ind w:firstLine="561"/>
        <w:spacing w:line="500" w:lineRule="exact"/>
        <w:rPr>
          <w:rFonts w:ascii="Times New Roman" w:hAnsi="Times New Roman" w:cs="方正仿宋_GBK"/>
          <w:sz w:val="28"/>
          <w:szCs w:val="28"/>
        </w:rPr>
      </w:pPr>
      <w:r>
        <w:rPr>
          <w:rFonts w:hint="eastAsia" w:ascii="Times New Roman" w:hAnsi="Times New Roman" w:cs="方正仿宋_GBK"/>
          <w:sz w:val="28"/>
          <w:szCs w:val="28"/>
        </w:rPr>
        <w:t xml:space="preserve">如违反，将自愿接受按“提供虚假材料谋取中标”进行处理，承担相关责任。</w:t>
      </w:r>
      <w:r/>
    </w:p>
    <w:p>
      <w:pPr>
        <w:pStyle w:val="1138"/>
        <w:spacing w:after="200" w:line="360" w:lineRule="auto"/>
        <w:rPr>
          <w:rFonts w:ascii="Times New Roman" w:hAnsi="Times New Roman" w:cs="方正仿宋_GBK"/>
          <w:sz w:val="28"/>
          <w:szCs w:val="28"/>
        </w:rPr>
      </w:pPr>
      <w:r>
        <w:rPr>
          <w:rFonts w:ascii="Times New Roman" w:hAnsi="Times New Roman" w:cs="方正仿宋_GBK"/>
          <w:sz w:val="28"/>
          <w:szCs w:val="28"/>
        </w:rPr>
      </w:r>
      <w:r/>
    </w:p>
    <w:p>
      <w:pPr>
        <w:pStyle w:val="1136"/>
        <w:jc w:val="center"/>
        <w:spacing w:after="200" w:line="220" w:lineRule="atLeast"/>
        <w:rPr>
          <w:rFonts w:ascii="Times New Roman" w:hAnsi="Times New Roman" w:eastAsia="宋体" w:cs="宋体"/>
          <w:b/>
          <w:color w:val="000000"/>
          <w:sz w:val="28"/>
        </w:rPr>
      </w:pPr>
      <w:r>
        <w:rPr>
          <w:rFonts w:hint="eastAsia" w:ascii="Times New Roman" w:hAnsi="Times New Roman" w:eastAsia="宋体" w:cs="方正仿宋_GBK"/>
          <w:sz w:val="28"/>
          <w:szCs w:val="28"/>
        </w:rPr>
        <w:t xml:space="preserve">                                   </w:t>
      </w:r>
      <w:r/>
    </w:p>
    <w:p>
      <w:pPr>
        <w:ind w:firstLine="2730"/>
        <w:rPr>
          <w:rFonts w:ascii="Times New Roman" w:hAnsi="Times New Roman" w:cs="方正仿宋_GBK"/>
          <w:sz w:val="28"/>
          <w:szCs w:val="28"/>
        </w:rPr>
      </w:pPr>
      <w:r>
        <w:rPr>
          <w:rFonts w:hint="eastAsia"/>
        </w:rPr>
        <w:t xml:space="preserve">    </w:t>
      </w:r>
      <w:r>
        <w:t xml:space="preserve">            </w:t>
      </w:r>
      <w:r>
        <w:rPr>
          <w:rFonts w:hint="eastAsia" w:ascii="Times New Roman" w:hAnsi="Times New Roman" w:cs="方正仿宋_GBK"/>
          <w:sz w:val="28"/>
          <w:szCs w:val="28"/>
        </w:rPr>
        <w:t xml:space="preserve">       单位名称（盖CA电子公章）：</w:t>
      </w:r>
      <w:r/>
    </w:p>
    <w:p>
      <w:pPr>
        <w:spacing w:line="480" w:lineRule="exact"/>
        <w:rPr>
          <w:rFonts w:ascii="宋体"/>
          <w:szCs w:val="32"/>
        </w:rPr>
        <w:outlineLvl w:val="1"/>
      </w:pPr>
      <w:r>
        <w:rPr>
          <w:rFonts w:hint="eastAsia" w:ascii="Times New Roman" w:hAnsi="Times New Roman" w:cs="方正仿宋_GBK"/>
          <w:sz w:val="28"/>
          <w:szCs w:val="28"/>
        </w:rPr>
        <w:br w:type="page" w:clear="all"/>
      </w:r>
      <w:r>
        <w:rPr>
          <w:rFonts w:hint="eastAsia" w:ascii="宋体" w:hAnsi="黑体" w:eastAsia="黑体" w:cs="黑体"/>
          <w:sz w:val="32"/>
          <w:szCs w:val="32"/>
        </w:rPr>
        <w:t xml:space="preserve">十一、投标所需其他材料</w:t>
      </w:r>
      <w:bookmarkEnd w:id="176"/>
      <w:r/>
      <w:bookmarkEnd w:id="177"/>
      <w:r/>
      <w:r/>
    </w:p>
    <w:p>
      <w:pPr>
        <w:pStyle w:val="1120"/>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p>
    <w:p>
      <w:pPr>
        <w:pStyle w:val="1095"/>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5"/>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5"/>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93853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938530" cy="279400"/>
                      </a:xfrm>
                      <a:prstGeom prst="rect">
                        <a:avLst/>
                      </a:prstGeom>
                      <a:noFill/>
                      <a:ln>
                        <a:noFill/>
                      </a:ln>
                    </wps:spPr>
                    <wps:txbx>
                      <w:txbxContent>
                        <w:p>
                          <w:pPr>
                            <w:pStyle w:val="815"/>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73.9pt;height:22.0pt;mso-wrap-distance-left:9.0pt;mso-wrap-distance-top:0.0pt;mso-wrap-distance-right:9.0pt;mso-wrap-distance-bottom:0.0pt;visibility:visible;" filled="f" stroked="f">
              <v:textbox inset="0,0,0,0">
                <w:txbxContent>
                  <w:p>
                    <w:pPr>
                      <w:pStyle w:val="815"/>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03"/>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8"/>
  </w:num>
  <w:num w:numId="5">
    <w:abstractNumId w:val="1"/>
  </w:num>
  <w:num w:numId="6">
    <w:abstractNumId w:val="0"/>
  </w:num>
  <w:num w:numId="7">
    <w:abstractNumId w:val="6"/>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link w:val="863"/>
    <w:uiPriority w:val="0"/>
    <w:qFormat/>
    <w:pPr>
      <w:keepLines/>
      <w:keepNext/>
      <w:spacing w:before="480" w:after="200"/>
      <w:outlineLvl w:val="0"/>
    </w:pPr>
    <w:rPr>
      <w:rFonts w:ascii="Arial" w:hAnsi="Arial" w:eastAsia="Arial" w:cs="Arial"/>
      <w:sz w:val="40"/>
      <w:szCs w:val="40"/>
    </w:rPr>
  </w:style>
  <w:style w:type="paragraph" w:styleId="782">
    <w:name w:val="Heading 2"/>
    <w:basedOn w:val="780"/>
    <w:next w:val="792"/>
    <w:link w:val="864"/>
    <w:uiPriority w:val="0"/>
    <w:qFormat/>
    <w:pPr>
      <w:keepLines/>
      <w:keepNext/>
      <w:spacing w:before="260" w:after="260" w:line="413" w:lineRule="auto"/>
      <w:outlineLvl w:val="1"/>
    </w:pPr>
    <w:rPr>
      <w:rFonts w:ascii="Arial" w:hAnsi="Arial" w:eastAsia="黑体"/>
      <w:b/>
      <w:sz w:val="32"/>
      <w:szCs w:val="20"/>
    </w:rPr>
  </w:style>
  <w:style w:type="paragraph" w:styleId="783">
    <w:name w:val="Heading 3"/>
    <w:basedOn w:val="793"/>
    <w:next w:val="794"/>
    <w:link w:val="866"/>
    <w:uiPriority w:val="0"/>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67"/>
    <w:uiPriority w:val="0"/>
    <w:qFormat/>
    <w:pPr>
      <w:jc w:val="center"/>
      <w:keepNext/>
      <w:outlineLvl w:val="3"/>
    </w:pPr>
    <w:rPr>
      <w:rFonts w:eastAsia="新宋体"/>
      <w:sz w:val="30"/>
      <w:szCs w:val="21"/>
    </w:rPr>
  </w:style>
  <w:style w:type="paragraph" w:styleId="785">
    <w:name w:val="Heading 5"/>
    <w:basedOn w:val="780"/>
    <w:next w:val="780"/>
    <w:link w:val="868"/>
    <w:uiPriority w:val="0"/>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69"/>
    <w:uiPriority w:val="0"/>
    <w:qFormat/>
    <w:pPr>
      <w:keepLines/>
      <w:keepNext/>
      <w:spacing w:before="320" w:after="200"/>
      <w:outlineLvl w:val="5"/>
    </w:pPr>
    <w:rPr>
      <w:rFonts w:ascii="Arial" w:hAnsi="Arial" w:eastAsia="Arial" w:cs="Arial"/>
      <w:b/>
      <w:bCs/>
      <w:sz w:val="22"/>
    </w:rPr>
  </w:style>
  <w:style w:type="paragraph" w:styleId="787">
    <w:name w:val="Heading 7"/>
    <w:basedOn w:val="780"/>
    <w:next w:val="780"/>
    <w:link w:val="870"/>
    <w:uiPriority w:val="0"/>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71"/>
    <w:uiPriority w:val="0"/>
    <w:qFormat/>
    <w:pPr>
      <w:keepLines/>
      <w:keepNext/>
      <w:spacing w:before="320" w:after="200"/>
      <w:outlineLvl w:val="7"/>
    </w:pPr>
    <w:rPr>
      <w:rFonts w:ascii="Arial" w:hAnsi="Arial" w:eastAsia="Arial" w:cs="Arial"/>
      <w:i/>
      <w:iCs/>
      <w:sz w:val="22"/>
    </w:rPr>
  </w:style>
  <w:style w:type="paragraph" w:styleId="789">
    <w:name w:val="Heading 9"/>
    <w:basedOn w:val="780"/>
    <w:next w:val="780"/>
    <w:link w:val="872"/>
    <w:uiPriority w:val="0"/>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Normal Indent"/>
    <w:basedOn w:val="780"/>
    <w:link w:val="865"/>
    <w:uiPriority w:val="0"/>
    <w:qFormat/>
    <w:pPr>
      <w:ind w:firstLine="420"/>
    </w:pPr>
    <w:rPr>
      <w:rFonts w:ascii="宋体"/>
      <w:color w:val="000000"/>
      <w:sz w:val="24"/>
      <w:szCs w:val="20"/>
    </w:rPr>
  </w:style>
  <w:style w:type="paragraph" w:styleId="793" w:customStyle="1">
    <w:name w:val="Normal1"/>
    <w:next w:val="783"/>
    <w:uiPriority w:val="0"/>
    <w:qFormat/>
    <w:pPr>
      <w:jc w:val="both"/>
      <w:widowControl w:val="off"/>
    </w:pPr>
    <w:rPr>
      <w:rFonts w:hint="default" w:ascii="Calibri" w:hAnsi="Calibri" w:eastAsia="宋体" w:cs="Times New Roman"/>
      <w:sz w:val="21"/>
      <w:szCs w:val="22"/>
      <w:lang w:val="en-US" w:eastAsia="zh-CN" w:bidi="ar-SA"/>
    </w:rPr>
  </w:style>
  <w:style w:type="paragraph" w:styleId="794" w:customStyle="1">
    <w:name w:val="Normal_19"/>
    <w:next w:val="795"/>
    <w:uiPriority w:val="0"/>
    <w:qFormat/>
    <w:rPr>
      <w:rFonts w:hint="default" w:ascii="黑体" w:hAnsi="黑体" w:eastAsia="黑体" w:cs="黑体"/>
      <w:b/>
      <w:sz w:val="32"/>
      <w:szCs w:val="24"/>
      <w:lang w:val="en-US" w:eastAsia="zh-CN" w:bidi="ar-SA"/>
    </w:rPr>
  </w:style>
  <w:style w:type="paragraph" w:styleId="795" w:customStyle="1">
    <w:name w:val="正文1"/>
    <w:next w:val="796"/>
    <w:uiPriority w:val="0"/>
    <w:qFormat/>
    <w:pPr>
      <w:jc w:val="both"/>
      <w:widowControl w:val="off"/>
    </w:pPr>
    <w:rPr>
      <w:rFonts w:hint="default" w:ascii="Times New Roman" w:hAnsi="Times New Roman" w:eastAsia="宋体" w:cs="Times New Roman"/>
      <w:szCs w:val="21"/>
      <w:lang w:val="en-US" w:eastAsia="zh-CN" w:bidi="ar-SA"/>
    </w:rPr>
  </w:style>
  <w:style w:type="paragraph" w:styleId="796" w:customStyle="1">
    <w:name w:val="Body Text First Indent1"/>
    <w:basedOn w:val="797"/>
    <w:uiPriority w:val="99"/>
    <w:unhideWhenUsed/>
    <w:qFormat/>
    <w:pPr>
      <w:ind w:firstLine="420"/>
    </w:pPr>
  </w:style>
  <w:style w:type="paragraph" w:styleId="797" w:customStyle="1">
    <w:name w:val="Body Text1"/>
    <w:basedOn w:val="795"/>
    <w:uiPriority w:val="99"/>
    <w:unhideWhenUsed/>
    <w:qFormat/>
    <w:pPr>
      <w:spacing w:after="120"/>
    </w:pPr>
  </w:style>
  <w:style w:type="paragraph" w:styleId="798">
    <w:name w:val="List 3"/>
    <w:basedOn w:val="780"/>
    <w:uiPriority w:val="0"/>
    <w:qFormat/>
    <w:pPr>
      <w:ind w:left="100" w:hanging="200"/>
    </w:pPr>
    <w:rPr>
      <w:rFonts w:ascii="Times New Roman" w:hAnsi="Times New Roman"/>
      <w:szCs w:val="21"/>
    </w:rPr>
  </w:style>
  <w:style w:type="paragraph" w:styleId="799">
    <w:name w:val="toc 7"/>
    <w:basedOn w:val="780"/>
    <w:next w:val="780"/>
    <w:uiPriority w:val="0"/>
    <w:unhideWhenUsed/>
    <w:qFormat/>
    <w:pPr>
      <w:ind w:left="1701"/>
      <w:spacing w:after="57"/>
    </w:pPr>
  </w:style>
  <w:style w:type="paragraph" w:styleId="800">
    <w:name w:val="Caption"/>
    <w:basedOn w:val="780"/>
    <w:next w:val="780"/>
    <w:uiPriority w:val="35"/>
    <w:qFormat/>
    <w:pPr>
      <w:spacing w:line="276" w:lineRule="auto"/>
    </w:pPr>
    <w:rPr>
      <w:b/>
      <w:bCs/>
      <w:color w:val="5b9bd5"/>
      <w:sz w:val="18"/>
      <w:szCs w:val="18"/>
    </w:rPr>
  </w:style>
  <w:style w:type="paragraph" w:styleId="801">
    <w:name w:val="Document Map"/>
    <w:basedOn w:val="780"/>
    <w:link w:val="873"/>
    <w:uiPriority w:val="0"/>
    <w:semiHidden/>
    <w:qFormat/>
    <w:pPr>
      <w:shd w:val="clear" w:color="auto" w:fill="000080"/>
    </w:pPr>
    <w:rPr>
      <w:rFonts w:ascii="Times New Roman" w:hAnsi="Times New Roman"/>
      <w:szCs w:val="21"/>
    </w:rPr>
  </w:style>
  <w:style w:type="paragraph" w:styleId="802">
    <w:name w:val="annotation text"/>
    <w:basedOn w:val="780"/>
    <w:link w:val="874"/>
    <w:uiPriority w:val="0"/>
    <w:semiHidden/>
    <w:qFormat/>
    <w:pPr>
      <w:jc w:val="left"/>
    </w:pPr>
    <w:rPr>
      <w:rFonts w:ascii="Times New Roman" w:hAnsi="Times New Roman"/>
      <w:szCs w:val="21"/>
    </w:rPr>
  </w:style>
  <w:style w:type="paragraph" w:styleId="803">
    <w:name w:val="Body Text 3"/>
    <w:basedOn w:val="780"/>
    <w:link w:val="875"/>
    <w:uiPriority w:val="0"/>
    <w:qFormat/>
    <w:rPr>
      <w:rFonts w:ascii="仿宋_GB2312" w:hAnsi="Arial" w:eastAsia="仿宋_GB2312"/>
      <w:sz w:val="32"/>
      <w:szCs w:val="32"/>
    </w:rPr>
  </w:style>
  <w:style w:type="paragraph" w:styleId="804">
    <w:name w:val="Body Text"/>
    <w:basedOn w:val="780"/>
    <w:uiPriority w:val="0"/>
    <w:semiHidden/>
    <w:qFormat/>
    <w:rPr>
      <w:rFonts w:ascii="仿宋" w:hAnsi="仿宋" w:eastAsia="仿宋" w:cs="仿宋"/>
      <w:sz w:val="32"/>
      <w:szCs w:val="32"/>
      <w:lang w:eastAsia="en-US"/>
    </w:rPr>
  </w:style>
  <w:style w:type="paragraph" w:styleId="805">
    <w:name w:val="Body Text Indent"/>
    <w:basedOn w:val="780"/>
    <w:link w:val="876"/>
    <w:uiPriority w:val="0"/>
    <w:qFormat/>
    <w:pPr>
      <w:ind w:firstLine="225"/>
    </w:pPr>
    <w:rPr>
      <w:rFonts w:ascii="仿宋_GB2312" w:eastAsia="仿宋_GB2312"/>
      <w:sz w:val="32"/>
    </w:rPr>
  </w:style>
  <w:style w:type="paragraph" w:styleId="806">
    <w:name w:val="List 2"/>
    <w:basedOn w:val="780"/>
    <w:uiPriority w:val="0"/>
    <w:qFormat/>
    <w:pPr>
      <w:ind w:left="100" w:hanging="200"/>
    </w:pPr>
    <w:rPr>
      <w:rFonts w:ascii="Times New Roman" w:hAnsi="Times New Roman"/>
      <w:szCs w:val="21"/>
    </w:rPr>
  </w:style>
  <w:style w:type="paragraph" w:styleId="807">
    <w:name w:val="toc 5"/>
    <w:basedOn w:val="780"/>
    <w:next w:val="780"/>
    <w:uiPriority w:val="0"/>
    <w:unhideWhenUsed/>
    <w:qFormat/>
    <w:pPr>
      <w:ind w:left="1134"/>
      <w:spacing w:after="57"/>
    </w:pPr>
  </w:style>
  <w:style w:type="paragraph" w:styleId="808">
    <w:name w:val="toc 3"/>
    <w:basedOn w:val="780"/>
    <w:next w:val="780"/>
    <w:uiPriority w:val="0"/>
    <w:unhideWhenUsed/>
    <w:qFormat/>
    <w:pPr>
      <w:ind w:left="567"/>
      <w:spacing w:after="57"/>
    </w:pPr>
  </w:style>
  <w:style w:type="paragraph" w:styleId="809">
    <w:name w:val="Plain Text"/>
    <w:basedOn w:val="780"/>
    <w:link w:val="877"/>
    <w:uiPriority w:val="0"/>
    <w:qFormat/>
    <w:rPr>
      <w:rFonts w:ascii="宋体" w:hAnsi="Courier New" w:cs="Courier New"/>
      <w:szCs w:val="21"/>
    </w:rPr>
  </w:style>
  <w:style w:type="paragraph" w:styleId="810">
    <w:name w:val="toc 8"/>
    <w:basedOn w:val="780"/>
    <w:next w:val="780"/>
    <w:uiPriority w:val="0"/>
    <w:unhideWhenUsed/>
    <w:qFormat/>
    <w:pPr>
      <w:ind w:left="1984"/>
      <w:spacing w:after="57"/>
    </w:pPr>
  </w:style>
  <w:style w:type="paragraph" w:styleId="811">
    <w:name w:val="Date"/>
    <w:basedOn w:val="780"/>
    <w:next w:val="780"/>
    <w:link w:val="878"/>
    <w:uiPriority w:val="0"/>
    <w:qFormat/>
    <w:rPr>
      <w:rFonts w:ascii="Times New Roman" w:hAnsi="Times New Roman"/>
      <w:sz w:val="24"/>
      <w:szCs w:val="24"/>
    </w:rPr>
  </w:style>
  <w:style w:type="paragraph" w:styleId="812">
    <w:name w:val="Body Text Indent 2"/>
    <w:basedOn w:val="780"/>
    <w:link w:val="879"/>
    <w:uiPriority w:val="0"/>
    <w:qFormat/>
    <w:pPr>
      <w:ind w:left="630" w:firstLine="645"/>
    </w:pPr>
    <w:rPr>
      <w:rFonts w:ascii="Arial" w:hAnsi="Arial" w:eastAsia="仿宋_GB2312" w:cs="Arial"/>
      <w:sz w:val="32"/>
      <w:szCs w:val="32"/>
    </w:rPr>
  </w:style>
  <w:style w:type="paragraph" w:styleId="813">
    <w:name w:val="endnote text"/>
    <w:basedOn w:val="780"/>
    <w:link w:val="880"/>
    <w:uiPriority w:val="99"/>
    <w:unhideWhenUsed/>
    <w:qFormat/>
    <w:rPr>
      <w:sz w:val="20"/>
    </w:rPr>
  </w:style>
  <w:style w:type="paragraph" w:styleId="814">
    <w:name w:val="Balloon Text"/>
    <w:basedOn w:val="780"/>
    <w:link w:val="881"/>
    <w:uiPriority w:val="0"/>
    <w:qFormat/>
    <w:rPr>
      <w:rFonts w:ascii="Times New Roman" w:hAnsi="Times New Roman"/>
      <w:sz w:val="18"/>
      <w:szCs w:val="18"/>
    </w:rPr>
  </w:style>
  <w:style w:type="paragraph" w:styleId="815">
    <w:name w:val="Footer"/>
    <w:basedOn w:val="780"/>
    <w:link w:val="882"/>
    <w:uiPriority w:val="99"/>
    <w:qFormat/>
    <w:pPr>
      <w:jc w:val="left"/>
      <w:tabs>
        <w:tab w:val="center" w:pos="4153" w:leader="none"/>
        <w:tab w:val="right" w:pos="8306" w:leader="none"/>
      </w:tabs>
    </w:pPr>
    <w:rPr>
      <w:sz w:val="18"/>
      <w:szCs w:val="18"/>
    </w:rPr>
  </w:style>
  <w:style w:type="paragraph" w:styleId="816">
    <w:name w:val="Header"/>
    <w:basedOn w:val="780"/>
    <w:link w:val="883"/>
    <w:uiPriority w:val="0"/>
    <w:qFormat/>
    <w:pPr>
      <w:jc w:val="center"/>
      <w:tabs>
        <w:tab w:val="center" w:pos="4153" w:leader="none"/>
        <w:tab w:val="right" w:pos="8306" w:leader="none"/>
      </w:tabs>
    </w:pPr>
    <w:rPr>
      <w:sz w:val="18"/>
      <w:szCs w:val="18"/>
    </w:rPr>
  </w:style>
  <w:style w:type="paragraph" w:styleId="817">
    <w:name w:val="toc 1"/>
    <w:basedOn w:val="780"/>
    <w:next w:val="780"/>
    <w:uiPriority w:val="0"/>
    <w:qFormat/>
    <w:pPr>
      <w:jc w:val="left"/>
      <w:spacing w:before="120" w:after="120"/>
    </w:pPr>
    <w:rPr>
      <w:rFonts w:cs="Calibri"/>
      <w:b/>
      <w:bCs/>
      <w:caps/>
      <w:sz w:val="20"/>
      <w:szCs w:val="20"/>
    </w:rPr>
  </w:style>
  <w:style w:type="paragraph" w:styleId="818">
    <w:name w:val="toc 4"/>
    <w:basedOn w:val="780"/>
    <w:next w:val="780"/>
    <w:uiPriority w:val="0"/>
    <w:unhideWhenUsed/>
    <w:qFormat/>
    <w:pPr>
      <w:ind w:left="850"/>
      <w:spacing w:after="57"/>
    </w:pPr>
  </w:style>
  <w:style w:type="paragraph" w:styleId="819">
    <w:name w:val="Subtitle"/>
    <w:basedOn w:val="780"/>
    <w:next w:val="780"/>
    <w:link w:val="884"/>
    <w:uiPriority w:val="11"/>
    <w:qFormat/>
    <w:pPr>
      <w:spacing w:before="200" w:after="200"/>
    </w:pPr>
    <w:rPr>
      <w:sz w:val="24"/>
      <w:szCs w:val="24"/>
    </w:rPr>
  </w:style>
  <w:style w:type="paragraph" w:styleId="820">
    <w:name w:val="List"/>
    <w:basedOn w:val="780"/>
    <w:uiPriority w:val="0"/>
    <w:qFormat/>
    <w:pPr>
      <w:ind w:left="200" w:hanging="200"/>
    </w:pPr>
    <w:rPr>
      <w:rFonts w:ascii="Times New Roman" w:hAnsi="Times New Roman"/>
      <w:szCs w:val="21"/>
    </w:rPr>
  </w:style>
  <w:style w:type="paragraph" w:styleId="821">
    <w:name w:val="footnote text"/>
    <w:basedOn w:val="780"/>
    <w:link w:val="885"/>
    <w:uiPriority w:val="99"/>
    <w:unhideWhenUsed/>
    <w:qFormat/>
    <w:pPr>
      <w:spacing w:after="40"/>
    </w:pPr>
    <w:rPr>
      <w:sz w:val="18"/>
    </w:rPr>
  </w:style>
  <w:style w:type="paragraph" w:styleId="822">
    <w:name w:val="toc 6"/>
    <w:basedOn w:val="780"/>
    <w:next w:val="780"/>
    <w:uiPriority w:val="0"/>
    <w:unhideWhenUsed/>
    <w:qFormat/>
    <w:pPr>
      <w:ind w:left="1417"/>
      <w:spacing w:after="57"/>
    </w:pPr>
  </w:style>
  <w:style w:type="paragraph" w:styleId="823">
    <w:name w:val="Body Text Indent 3"/>
    <w:basedOn w:val="780"/>
    <w:link w:val="886"/>
    <w:uiPriority w:val="0"/>
    <w:qFormat/>
    <w:pPr>
      <w:ind w:left="645" w:firstLine="645"/>
    </w:pPr>
    <w:rPr>
      <w:rFonts w:ascii="Arial" w:hAnsi="Arial" w:eastAsia="仿宋_GB2312" w:cs="Arial"/>
      <w:color w:val="ffff00"/>
      <w:sz w:val="32"/>
      <w:szCs w:val="32"/>
    </w:rPr>
  </w:style>
  <w:style w:type="paragraph" w:styleId="824">
    <w:name w:val="table of figures"/>
    <w:basedOn w:val="780"/>
    <w:next w:val="780"/>
    <w:uiPriority w:val="0"/>
    <w:unhideWhenUsed/>
    <w:qFormat/>
  </w:style>
  <w:style w:type="paragraph" w:styleId="825">
    <w:name w:val="toc 2"/>
    <w:basedOn w:val="780"/>
    <w:next w:val="780"/>
    <w:uiPriority w:val="0"/>
    <w:qFormat/>
    <w:pPr>
      <w:ind w:left="210"/>
      <w:jc w:val="left"/>
    </w:pPr>
    <w:rPr>
      <w:rFonts w:cs="Calibri"/>
      <w:smallCaps/>
      <w:sz w:val="20"/>
      <w:szCs w:val="20"/>
    </w:rPr>
  </w:style>
  <w:style w:type="paragraph" w:styleId="826">
    <w:name w:val="toc 9"/>
    <w:basedOn w:val="780"/>
    <w:next w:val="780"/>
    <w:uiPriority w:val="0"/>
    <w:unhideWhenUsed/>
    <w:qFormat/>
    <w:pPr>
      <w:ind w:left="2268"/>
      <w:spacing w:after="57"/>
    </w:pPr>
  </w:style>
  <w:style w:type="paragraph" w:styleId="827">
    <w:name w:val="Body Text 2"/>
    <w:basedOn w:val="780"/>
    <w:link w:val="887"/>
    <w:uiPriority w:val="0"/>
    <w:qFormat/>
    <w:pPr>
      <w:jc w:val="center"/>
      <w:widowControl/>
    </w:pPr>
    <w:rPr>
      <w:rFonts w:ascii="楷体_GB2312" w:hAnsi="Times New Roman" w:eastAsia="楷体_GB2312"/>
      <w:sz w:val="28"/>
      <w:szCs w:val="28"/>
    </w:rPr>
  </w:style>
  <w:style w:type="paragraph" w:styleId="828">
    <w:name w:val="HTML Preformatted"/>
    <w:basedOn w:val="780"/>
    <w:link w:val="8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29">
    <w:name w:val="Normal (Web)"/>
    <w:basedOn w:val="780"/>
    <w:uiPriority w:val="99"/>
    <w:qFormat/>
    <w:pPr>
      <w:jc w:val="left"/>
      <w:spacing w:before="100" w:beforeAutospacing="1" w:after="100" w:afterAutospacing="1"/>
      <w:widowControl/>
    </w:pPr>
    <w:rPr>
      <w:rFonts w:ascii="宋体" w:hAnsi="宋体" w:cs="宋体"/>
      <w:sz w:val="24"/>
      <w:szCs w:val="24"/>
    </w:rPr>
  </w:style>
  <w:style w:type="paragraph" w:styleId="830">
    <w:name w:val="index 1"/>
    <w:basedOn w:val="780"/>
    <w:next w:val="780"/>
    <w:uiPriority w:val="0"/>
    <w:semiHidden/>
    <w:qFormat/>
    <w:pPr>
      <w:spacing w:line="240" w:lineRule="atLeast"/>
    </w:pPr>
    <w:rPr>
      <w:rFonts w:ascii="Times New Roman" w:hAnsi="Times New Roman"/>
      <w:b/>
      <w:bCs/>
      <w:szCs w:val="21"/>
    </w:rPr>
  </w:style>
  <w:style w:type="paragraph" w:styleId="831">
    <w:name w:val="Title"/>
    <w:basedOn w:val="780"/>
    <w:next w:val="780"/>
    <w:link w:val="889"/>
    <w:uiPriority w:val="10"/>
    <w:qFormat/>
    <w:pPr>
      <w:contextualSpacing/>
      <w:spacing w:before="300" w:after="200"/>
    </w:pPr>
    <w:rPr>
      <w:sz w:val="48"/>
      <w:szCs w:val="48"/>
    </w:rPr>
  </w:style>
  <w:style w:type="paragraph" w:styleId="832">
    <w:name w:val="annotation subject"/>
    <w:basedOn w:val="802"/>
    <w:next w:val="802"/>
    <w:link w:val="890"/>
    <w:uiPriority w:val="0"/>
    <w:semiHidden/>
    <w:qFormat/>
    <w:rPr>
      <w:b/>
      <w:bCs/>
    </w:rPr>
  </w:style>
  <w:style w:type="paragraph" w:styleId="833">
    <w:name w:val="Body Text First Indent 2"/>
    <w:basedOn w:val="805"/>
    <w:link w:val="891"/>
    <w:uiPriority w:val="0"/>
    <w:qFormat/>
    <w:pPr>
      <w:ind w:firstLine="420"/>
      <w:spacing w:line="360" w:lineRule="auto"/>
    </w:pPr>
    <w:rPr>
      <w:rFonts w:ascii="宋体" w:hAnsi="宋体" w:eastAsia="宋体"/>
      <w:sz w:val="21"/>
      <w:szCs w:val="20"/>
    </w:rPr>
  </w:style>
  <w:style w:type="table" w:styleId="834">
    <w:name w:val="Table Grid"/>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5">
    <w:name w:val="Strong"/>
    <w:uiPriority w:val="0"/>
    <w:qFormat/>
    <w:rPr>
      <w:b/>
      <w:bCs/>
    </w:rPr>
  </w:style>
  <w:style w:type="character" w:styleId="836">
    <w:name w:val="endnote reference"/>
    <w:uiPriority w:val="99"/>
    <w:unhideWhenUsed/>
    <w:qFormat/>
    <w:rPr>
      <w:vertAlign w:val="superscript"/>
    </w:rPr>
  </w:style>
  <w:style w:type="character" w:styleId="837">
    <w:name w:val="page number"/>
    <w:uiPriority w:val="0"/>
    <w:qFormat/>
  </w:style>
  <w:style w:type="character" w:styleId="838">
    <w:name w:val="FollowedHyperlink"/>
    <w:uiPriority w:val="0"/>
    <w:qFormat/>
    <w:rPr>
      <w:color w:val="800080"/>
      <w:u w:val="single"/>
    </w:rPr>
  </w:style>
  <w:style w:type="character" w:styleId="839">
    <w:name w:val="Emphasis"/>
    <w:uiPriority w:val="0"/>
    <w:qFormat/>
    <w:rPr>
      <w:i/>
    </w:rPr>
  </w:style>
  <w:style w:type="character" w:styleId="840">
    <w:name w:val="Hyperlink"/>
    <w:uiPriority w:val="0"/>
    <w:qFormat/>
    <w:rPr>
      <w:color w:val="0000ff"/>
      <w:u w:val="single"/>
    </w:rPr>
  </w:style>
  <w:style w:type="character" w:styleId="841">
    <w:name w:val="annotation reference"/>
    <w:uiPriority w:val="0"/>
    <w:semiHidden/>
    <w:qFormat/>
    <w:rPr>
      <w:sz w:val="21"/>
      <w:szCs w:val="21"/>
    </w:rPr>
  </w:style>
  <w:style w:type="character" w:styleId="842">
    <w:name w:val="footnote reference"/>
    <w:uiPriority w:val="99"/>
    <w:unhideWhenUsed/>
    <w:qFormat/>
    <w:rPr>
      <w:vertAlign w:val="superscript"/>
    </w:rPr>
  </w:style>
  <w:style w:type="table" w:styleId="843"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2" w:customStyle="1">
    <w:name w:val="TOC Heading"/>
    <w:uiPriority w:val="39"/>
    <w:unhideWhenUsed/>
    <w:qFormat/>
    <w:rPr>
      <w:rFonts w:hint="default" w:ascii="Times New Roman" w:hAnsi="Times New Roman" w:eastAsia="宋体" w:cs="Times New Roman"/>
    </w:rPr>
  </w:style>
  <w:style w:type="character" w:styleId="863" w:customStyle="1">
    <w:name w:val="标题 1 字符"/>
    <w:link w:val="781"/>
    <w:uiPriority w:val="0"/>
    <w:qFormat/>
    <w:rPr>
      <w:rFonts w:ascii="Arial" w:hAnsi="Arial" w:eastAsia="Arial" w:cs="Arial"/>
      <w:sz w:val="40"/>
      <w:szCs w:val="40"/>
    </w:rPr>
  </w:style>
  <w:style w:type="character" w:styleId="864" w:customStyle="1">
    <w:name w:val="标题 2 字符"/>
    <w:link w:val="782"/>
    <w:uiPriority w:val="0"/>
    <w:qFormat/>
    <w:rPr>
      <w:rFonts w:ascii="Arial" w:hAnsi="Arial" w:eastAsia="Arial" w:cs="Arial"/>
      <w:sz w:val="34"/>
    </w:rPr>
  </w:style>
  <w:style w:type="character" w:styleId="865" w:customStyle="1">
    <w:name w:val="正文缩进 字符"/>
    <w:link w:val="792"/>
    <w:uiPriority w:val="0"/>
    <w:qFormat/>
    <w:rPr>
      <w:rFonts w:ascii="宋体" w:hAnsi="Calibri"/>
      <w:color w:val="000000"/>
      <w:sz w:val="24"/>
    </w:rPr>
  </w:style>
  <w:style w:type="character" w:styleId="866" w:customStyle="1">
    <w:name w:val="标题 3 字符"/>
    <w:link w:val="783"/>
    <w:uiPriority w:val="0"/>
    <w:qFormat/>
    <w:rPr>
      <w:rFonts w:ascii="Arial" w:hAnsi="Arial" w:eastAsia="Arial" w:cs="Arial"/>
      <w:sz w:val="30"/>
      <w:szCs w:val="30"/>
    </w:rPr>
  </w:style>
  <w:style w:type="character" w:styleId="867" w:customStyle="1">
    <w:name w:val="标题 4 字符"/>
    <w:link w:val="784"/>
    <w:uiPriority w:val="0"/>
    <w:qFormat/>
    <w:rPr>
      <w:rFonts w:ascii="Arial" w:hAnsi="Arial" w:eastAsia="Arial" w:cs="Arial"/>
      <w:b/>
      <w:bCs/>
      <w:sz w:val="26"/>
      <w:szCs w:val="26"/>
    </w:rPr>
  </w:style>
  <w:style w:type="character" w:styleId="868" w:customStyle="1">
    <w:name w:val="标题 5 字符"/>
    <w:link w:val="785"/>
    <w:uiPriority w:val="0"/>
    <w:qFormat/>
    <w:rPr>
      <w:rFonts w:ascii="Arial" w:hAnsi="Arial" w:eastAsia="Arial" w:cs="Arial"/>
      <w:b/>
      <w:bCs/>
      <w:sz w:val="24"/>
      <w:szCs w:val="24"/>
    </w:rPr>
  </w:style>
  <w:style w:type="character" w:styleId="869" w:customStyle="1">
    <w:name w:val="标题 6 字符"/>
    <w:link w:val="786"/>
    <w:uiPriority w:val="0"/>
    <w:qFormat/>
    <w:rPr>
      <w:rFonts w:ascii="Arial" w:hAnsi="Arial" w:eastAsia="Arial" w:cs="Arial"/>
      <w:b/>
      <w:bCs/>
      <w:sz w:val="22"/>
      <w:szCs w:val="22"/>
    </w:rPr>
  </w:style>
  <w:style w:type="character" w:styleId="870" w:customStyle="1">
    <w:name w:val="标题 7 字符"/>
    <w:link w:val="787"/>
    <w:uiPriority w:val="0"/>
    <w:qFormat/>
    <w:rPr>
      <w:rFonts w:ascii="Arial" w:hAnsi="Arial" w:eastAsia="Arial" w:cs="Arial"/>
      <w:b/>
      <w:bCs/>
      <w:i/>
      <w:iCs/>
      <w:sz w:val="22"/>
      <w:szCs w:val="22"/>
    </w:rPr>
  </w:style>
  <w:style w:type="character" w:styleId="871" w:customStyle="1">
    <w:name w:val="标题 8 字符"/>
    <w:link w:val="788"/>
    <w:uiPriority w:val="0"/>
    <w:qFormat/>
    <w:rPr>
      <w:rFonts w:ascii="Arial" w:hAnsi="Arial" w:eastAsia="Arial" w:cs="Arial"/>
      <w:i/>
      <w:iCs/>
      <w:sz w:val="22"/>
      <w:szCs w:val="22"/>
    </w:rPr>
  </w:style>
  <w:style w:type="character" w:styleId="872" w:customStyle="1">
    <w:name w:val="标题 9 字符"/>
    <w:link w:val="789"/>
    <w:uiPriority w:val="0"/>
    <w:qFormat/>
    <w:rPr>
      <w:rFonts w:ascii="Arial" w:hAnsi="Arial" w:eastAsia="Arial" w:cs="Arial"/>
      <w:i/>
      <w:iCs/>
      <w:sz w:val="21"/>
      <w:szCs w:val="21"/>
    </w:rPr>
  </w:style>
  <w:style w:type="character" w:styleId="873" w:customStyle="1">
    <w:name w:val="文档结构图 字符"/>
    <w:link w:val="801"/>
    <w:uiPriority w:val="0"/>
    <w:semiHidden/>
    <w:qFormat/>
    <w:rPr>
      <w:sz w:val="21"/>
      <w:szCs w:val="21"/>
      <w:shd w:val="clear" w:color="auto" w:fill="000080"/>
    </w:rPr>
  </w:style>
  <w:style w:type="character" w:styleId="874" w:customStyle="1">
    <w:name w:val="批注文字 字符"/>
    <w:link w:val="802"/>
    <w:uiPriority w:val="0"/>
    <w:semiHidden/>
    <w:qFormat/>
    <w:rPr>
      <w:sz w:val="21"/>
      <w:szCs w:val="21"/>
    </w:rPr>
  </w:style>
  <w:style w:type="character" w:styleId="875" w:customStyle="1">
    <w:name w:val="正文文本 3 字符"/>
    <w:link w:val="803"/>
    <w:uiPriority w:val="0"/>
    <w:qFormat/>
    <w:rPr>
      <w:rFonts w:ascii="仿宋_GB2312" w:hAnsi="Arial" w:eastAsia="仿宋_GB2312"/>
      <w:sz w:val="32"/>
      <w:szCs w:val="32"/>
    </w:rPr>
  </w:style>
  <w:style w:type="character" w:styleId="876" w:customStyle="1">
    <w:name w:val="正文文本缩进 字符1"/>
    <w:link w:val="805"/>
    <w:uiPriority w:val="0"/>
    <w:qFormat/>
    <w:rPr>
      <w:rFonts w:ascii="仿宋_GB2312" w:hAnsi="Calibri" w:eastAsia="仿宋_GB2312"/>
      <w:sz w:val="32"/>
      <w:szCs w:val="22"/>
    </w:rPr>
  </w:style>
  <w:style w:type="character" w:styleId="877" w:customStyle="1">
    <w:name w:val="纯文本 字符"/>
    <w:link w:val="809"/>
    <w:uiPriority w:val="0"/>
    <w:qFormat/>
    <w:rPr>
      <w:rFonts w:ascii="宋体" w:hAnsi="Courier New" w:cs="Courier New"/>
      <w:sz w:val="21"/>
      <w:szCs w:val="21"/>
    </w:rPr>
  </w:style>
  <w:style w:type="character" w:styleId="878" w:customStyle="1">
    <w:name w:val="日期 字符"/>
    <w:link w:val="811"/>
    <w:uiPriority w:val="0"/>
    <w:qFormat/>
    <w:rPr>
      <w:sz w:val="24"/>
      <w:szCs w:val="24"/>
    </w:rPr>
  </w:style>
  <w:style w:type="character" w:styleId="879" w:customStyle="1">
    <w:name w:val="正文文本缩进 2 字符"/>
    <w:link w:val="812"/>
    <w:uiPriority w:val="0"/>
    <w:qFormat/>
    <w:rPr>
      <w:rFonts w:ascii="Arial" w:hAnsi="Arial" w:eastAsia="仿宋_GB2312" w:cs="Arial"/>
      <w:sz w:val="32"/>
      <w:szCs w:val="32"/>
    </w:rPr>
  </w:style>
  <w:style w:type="character" w:styleId="880" w:customStyle="1">
    <w:name w:val="尾注文本 字符"/>
    <w:link w:val="813"/>
    <w:uiPriority w:val="99"/>
    <w:qFormat/>
    <w:rPr>
      <w:sz w:val="20"/>
    </w:rPr>
  </w:style>
  <w:style w:type="character" w:styleId="881" w:customStyle="1">
    <w:name w:val="批注框文本 字符"/>
    <w:link w:val="814"/>
    <w:uiPriority w:val="0"/>
    <w:qFormat/>
    <w:rPr>
      <w:sz w:val="18"/>
      <w:szCs w:val="18"/>
    </w:rPr>
  </w:style>
  <w:style w:type="character" w:styleId="882" w:customStyle="1">
    <w:name w:val="页脚 字符"/>
    <w:link w:val="815"/>
    <w:uiPriority w:val="99"/>
    <w:qFormat/>
  </w:style>
  <w:style w:type="character" w:styleId="883" w:customStyle="1">
    <w:name w:val="页眉 字符"/>
    <w:link w:val="816"/>
    <w:uiPriority w:val="0"/>
    <w:qFormat/>
    <w:rPr>
      <w:rFonts w:ascii="Calibri" w:hAnsi="Calibri"/>
      <w:sz w:val="18"/>
      <w:szCs w:val="18"/>
    </w:rPr>
  </w:style>
  <w:style w:type="character" w:styleId="884" w:customStyle="1">
    <w:name w:val="副标题 字符"/>
    <w:link w:val="819"/>
    <w:uiPriority w:val="11"/>
    <w:qFormat/>
    <w:rPr>
      <w:sz w:val="24"/>
      <w:szCs w:val="24"/>
    </w:rPr>
  </w:style>
  <w:style w:type="character" w:styleId="885" w:customStyle="1">
    <w:name w:val="脚注文本 字符"/>
    <w:link w:val="821"/>
    <w:uiPriority w:val="99"/>
    <w:qFormat/>
    <w:rPr>
      <w:sz w:val="18"/>
    </w:rPr>
  </w:style>
  <w:style w:type="character" w:styleId="886" w:customStyle="1">
    <w:name w:val="正文文本缩进 3 字符"/>
    <w:link w:val="823"/>
    <w:uiPriority w:val="0"/>
    <w:qFormat/>
    <w:rPr>
      <w:rFonts w:ascii="Arial" w:hAnsi="Arial" w:eastAsia="仿宋_GB2312" w:cs="Arial"/>
      <w:color w:val="ffff00"/>
      <w:sz w:val="32"/>
      <w:szCs w:val="32"/>
    </w:rPr>
  </w:style>
  <w:style w:type="character" w:styleId="887" w:customStyle="1">
    <w:name w:val="正文文本 2 字符"/>
    <w:link w:val="827"/>
    <w:uiPriority w:val="0"/>
    <w:qFormat/>
    <w:rPr>
      <w:rFonts w:ascii="楷体_GB2312" w:eastAsia="楷体_GB2312"/>
      <w:sz w:val="28"/>
      <w:szCs w:val="28"/>
    </w:rPr>
  </w:style>
  <w:style w:type="character" w:styleId="888" w:customStyle="1">
    <w:name w:val="HTML 预设格式 字符"/>
    <w:link w:val="828"/>
    <w:uiPriority w:val="99"/>
    <w:qFormat/>
    <w:rPr>
      <w:rFonts w:ascii="宋体" w:hAnsi="宋体"/>
      <w:sz w:val="24"/>
      <w:szCs w:val="24"/>
    </w:rPr>
  </w:style>
  <w:style w:type="character" w:styleId="889" w:customStyle="1">
    <w:name w:val="标题 字符"/>
    <w:link w:val="831"/>
    <w:uiPriority w:val="10"/>
    <w:qFormat/>
    <w:rPr>
      <w:sz w:val="48"/>
      <w:szCs w:val="48"/>
    </w:rPr>
  </w:style>
  <w:style w:type="character" w:styleId="890" w:customStyle="1">
    <w:name w:val="批注主题 字符"/>
    <w:link w:val="832"/>
    <w:uiPriority w:val="0"/>
    <w:semiHidden/>
    <w:qFormat/>
    <w:rPr>
      <w:b/>
      <w:bCs/>
      <w:sz w:val="21"/>
      <w:szCs w:val="21"/>
    </w:rPr>
  </w:style>
  <w:style w:type="character" w:styleId="891" w:customStyle="1">
    <w:name w:val="正文文本首行缩进 2 字符"/>
    <w:link w:val="833"/>
    <w:uiPriority w:val="0"/>
    <w:qFormat/>
    <w:rPr>
      <w:rFonts w:ascii="宋体" w:hAnsi="宋体" w:eastAsia="仿宋_GB2312"/>
      <w:sz w:val="21"/>
      <w:szCs w:val="22"/>
    </w:rPr>
  </w:style>
  <w:style w:type="paragraph" w:styleId="892" w:customStyle="1">
    <w:name w:val="正文首行缩进 21"/>
    <w:basedOn w:val="893"/>
    <w:next w:val="780"/>
    <w:uiPriority w:val="0"/>
    <w:qFormat/>
    <w:pPr>
      <w:ind w:firstLine="420"/>
      <w:spacing w:line="360" w:lineRule="auto"/>
    </w:pPr>
    <w:rPr>
      <w:rFonts w:ascii="宋体" w:hAnsi="宋体" w:eastAsia="宋体"/>
      <w:sz w:val="21"/>
      <w:szCs w:val="20"/>
    </w:rPr>
  </w:style>
  <w:style w:type="paragraph" w:styleId="893" w:customStyle="1">
    <w:name w:val="正文文本缩进1"/>
    <w:basedOn w:val="780"/>
    <w:next w:val="894"/>
    <w:uiPriority w:val="0"/>
    <w:qFormat/>
    <w:pPr>
      <w:ind w:firstLine="645"/>
    </w:pPr>
    <w:rPr>
      <w:rFonts w:ascii="楷体_GB2312" w:eastAsia="楷体_GB2312"/>
      <w:sz w:val="32"/>
      <w:szCs w:val="32"/>
    </w:rPr>
  </w:style>
  <w:style w:type="paragraph" w:styleId="894" w:customStyle="1">
    <w:name w:val="寄信人地址1"/>
    <w:basedOn w:val="780"/>
    <w:uiPriority w:val="0"/>
    <w:qFormat/>
    <w:rPr>
      <w:rFonts w:ascii="Arial" w:hAnsi="Arial"/>
    </w:rPr>
  </w:style>
  <w:style w:type="paragraph" w:styleId="895" w:customStyle="1">
    <w:name w:val="标题 41"/>
    <w:basedOn w:val="89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6" w:customStyle="1">
    <w:name w:val="Normal_20"/>
    <w:next w:val="897"/>
    <w:uiPriority w:val="0"/>
    <w:qFormat/>
    <w:rPr>
      <w:rFonts w:hint="default" w:ascii="黑体" w:hAnsi="黑体" w:eastAsia="黑体" w:cs="黑体"/>
      <w:b/>
      <w:sz w:val="32"/>
      <w:szCs w:val="24"/>
      <w:lang w:val="en-US" w:eastAsia="zh-CN" w:bidi="ar-SA"/>
    </w:rPr>
  </w:style>
  <w:style w:type="paragraph" w:styleId="897" w:customStyle="1">
    <w:name w:val="Body Text First Indent_2"/>
    <w:basedOn w:val="896"/>
    <w:uiPriority w:val="0"/>
    <w:qFormat/>
    <w:pPr>
      <w:ind w:firstLine="100"/>
      <w:spacing w:after="120"/>
    </w:pPr>
  </w:style>
  <w:style w:type="paragraph" w:styleId="898" w:customStyle="1">
    <w:name w:val="脚注文本1"/>
    <w:basedOn w:val="780"/>
    <w:uiPriority w:val="0"/>
    <w:qFormat/>
    <w:pPr>
      <w:jc w:val="left"/>
    </w:pPr>
    <w:rPr>
      <w:rFonts w:eastAsia="Times New Roman"/>
      <w:sz w:val="18"/>
      <w:szCs w:val="24"/>
    </w:rPr>
  </w:style>
  <w:style w:type="table" w:styleId="899" w:customStyle="1">
    <w:name w:val="无格式表格 11"/>
    <w:basedOn w:val="79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华文中宋" w:hAnsi="华文中宋"/>
        <w:b/>
        <w:color w:val="404040"/>
        <w:sz w:val="22"/>
      </w:rPr>
    </w:tblStylePr>
    <w:tblStylePr w:type="firstRow">
      <w:rPr>
        <w:rFonts w:ascii="华文中宋" w:hAnsi="华文中宋"/>
        <w:b/>
        <w:color w:val="404040"/>
        <w:sz w:val="22"/>
      </w:r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900" w:customStyle="1">
    <w:name w:val="无格式表格 21"/>
    <w:basedOn w:val="79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901" w:customStyle="1">
    <w:name w:val="无格式表格 31"/>
    <w:basedOn w:val="791"/>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791"/>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791"/>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网格表 1 浅色1"/>
    <w:basedOn w:val="79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华文中宋" w:hAnsi="华文中宋"/>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5" w:customStyle="1">
    <w:name w:val="网格表 21"/>
    <w:basedOn w:val="791"/>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网格表 31"/>
    <w:basedOn w:val="791"/>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网格表 41"/>
    <w:basedOn w:val="79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rFonts w:ascii="华文中宋" w:hAnsi="华文中宋"/>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网格表 5 深色1"/>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华文中宋" w:hAnsi="华文中宋"/>
        <w:b/>
        <w:color w:val="ffffff"/>
        <w:sz w:val="22"/>
      </w:rPr>
      <w:tcPr>
        <w:shd w:val="clear" w:color="000000" w:fill="000000"/>
      </w:tcPr>
    </w:tblStylePr>
    <w:tblStylePr w:type="firstRow">
      <w:rPr>
        <w:rFonts w:ascii="华文中宋" w:hAnsi="华文中宋"/>
        <w:b/>
        <w:color w:val="ffffff"/>
        <w:sz w:val="22"/>
      </w:rPr>
      <w:tcPr>
        <w:shd w:val="clear" w:color="000000" w:fill="000000"/>
      </w:tcPr>
    </w:tblStylePr>
    <w:tblStylePr w:type="lastCol">
      <w:rPr>
        <w:rFonts w:ascii="华文中宋" w:hAnsi="华文中宋"/>
        <w:b/>
        <w:color w:val="ffffff"/>
        <w:sz w:val="22"/>
      </w:rPr>
      <w:tcPr>
        <w:shd w:val="clear" w:color="000000" w:fill="000000"/>
      </w:tcPr>
    </w:tblStylePr>
    <w:tblStylePr w:type="lastRow">
      <w:rPr>
        <w:rFonts w:ascii="华文中宋" w:hAnsi="华文中宋"/>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网格表 6 彩色1"/>
    <w:basedOn w:val="79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cacaca" w:fill="cacaca"/>
      </w:tcPr>
    </w:tblStylePr>
    <w:tblStylePr w:type="band1Vert">
      <w:tcPr>
        <w:shd w:val="clear" w:color="cacaca" w:fill="cacaca"/>
      </w:tcPr>
    </w:tblStylePr>
    <w:tblStylePr w:type="band2Horz">
      <w:rPr>
        <w:rFonts w:ascii="华文中宋" w:hAnsi="华文中宋"/>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10" w:customStyle="1">
    <w:name w:val="网格表 7 彩色1"/>
    <w:basedOn w:val="79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f1f1f1" w:fill="f1f1f1"/>
      </w:tcPr>
    </w:tblStylePr>
    <w:tblStylePr w:type="band1Vert">
      <w:tcPr>
        <w:shd w:val="clear" w:color="f1f1f1" w:fill="f1f1f1"/>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清单表 1 浅色1"/>
    <w:basedOn w:val="79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清单表 21"/>
    <w:basedOn w:val="791"/>
    <w:uiPriority w:val="99"/>
    <w:qFormat/>
    <w:tblPr>
      <w:tblBorders>
        <w:top w:val="single" w:color="6E6E6E" w:sz="4" w:space="0"/>
        <w:bottom w:val="single" w:color="6E6E6E" w:sz="4" w:space="0"/>
        <w:insideH w:val="single" w:color="6E6E6E"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13" w:customStyle="1">
    <w:name w:val="清单表 31"/>
    <w:basedOn w:val="79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华文中宋" w:hAnsi="华文中宋"/>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清单表 41"/>
    <w:basedOn w:val="79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915" w:customStyle="1">
    <w:name w:val="清单表 5 深色1"/>
    <w:basedOn w:val="79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16" w:customStyle="1">
    <w:name w:val="清单表 6 彩色1"/>
    <w:basedOn w:val="791"/>
    <w:uiPriority w:val="99"/>
    <w:qFormat/>
    <w:tblPr>
      <w:tblBorders>
        <w:top w:val="single" w:color="7E7E7E" w:sz="4" w:space="0"/>
        <w:bottom w:val="single" w:color="7E7E7E" w:sz="4" w:space="0"/>
      </w:tblBorders>
    </w:tblPr>
    <w:tblStylePr w:type="band1Horz">
      <w:rPr>
        <w:rFonts w:ascii="华文中宋" w:hAnsi="华文中宋"/>
        <w:color w:val="000000"/>
        <w:sz w:val="22"/>
      </w:rPr>
      <w:tcPr>
        <w:shd w:val="clear" w:color="bebebe" w:fill="bebebe"/>
      </w:tcPr>
    </w:tblStylePr>
    <w:tblStylePr w:type="band1Vert">
      <w:tcPr>
        <w:shd w:val="clear" w:color="bebebe" w:fill="bebebe"/>
      </w:tcPr>
    </w:tblStylePr>
    <w:tblStylePr w:type="band2Horz">
      <w:rPr>
        <w:rFonts w:ascii="华文中宋" w:hAnsi="华文中宋"/>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清单表 7 彩色1"/>
    <w:basedOn w:val="791"/>
    <w:uiPriority w:val="99"/>
    <w:qFormat/>
    <w:tblPr>
      <w:tblBorders>
        <w:right w:val="single" w:color="7E7E7E" w:sz="4" w:space="0"/>
      </w:tblBorders>
    </w:tblPr>
    <w:tblStylePr w:type="band1Horz">
      <w:rPr>
        <w:rFonts w:ascii="华文中宋" w:hAnsi="华文中宋"/>
        <w:color w:val="7f7f7f"/>
        <w:sz w:val="22"/>
      </w:rPr>
      <w:tcPr>
        <w:shd w:val="clear" w:color="bebebe" w:fill="bebebe"/>
      </w:tcPr>
    </w:tblStylePr>
    <w:tblStylePr w:type="band1Vert">
      <w:tcPr>
        <w:shd w:val="clear" w:color="bebebe" w:fill="bebebe"/>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TOC 标题111"/>
    <w:uiPriority w:val="39"/>
    <w:unhideWhenUsed/>
    <w:qFormat/>
    <w:rPr>
      <w:rFonts w:hint="default" w:ascii="Times New Roman" w:hAnsi="Times New Roman" w:eastAsia="宋体" w:cs="Times New Roman"/>
      <w:lang w:val="en-US" w:eastAsia="zh-CN" w:bidi="ar-SA"/>
    </w:rPr>
  </w:style>
  <w:style w:type="paragraph" w:styleId="920" w:customStyle="1">
    <w:name w:val="Normal_21"/>
    <w:basedOn w:val="921"/>
    <w:next w:val="921"/>
    <w:uiPriority w:val="0"/>
    <w:qFormat/>
    <w:rPr>
      <w:rFonts w:ascii="Times New Roman" w:hAnsi="Times New Roman"/>
      <w:szCs w:val="24"/>
    </w:rPr>
  </w:style>
  <w:style w:type="paragraph" w:styleId="92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2" w:customStyle="1">
    <w:name w:val="正文_17"/>
    <w:next w:val="9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3" w:customStyle="1">
    <w:name w:val="标题 4_1"/>
    <w:basedOn w:val="922"/>
    <w:next w:val="92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4" w:customStyle="1">
    <w:name w:val="Heading 1 Char"/>
    <w:uiPriority w:val="9"/>
    <w:qFormat/>
    <w:rPr>
      <w:rFonts w:ascii="Arial" w:hAnsi="Arial" w:eastAsia="Arial" w:cs="Arial"/>
      <w:sz w:val="40"/>
      <w:szCs w:val="40"/>
    </w:rPr>
  </w:style>
  <w:style w:type="character" w:styleId="925" w:customStyle="1">
    <w:name w:val="Heading 2 Char"/>
    <w:uiPriority w:val="9"/>
    <w:qFormat/>
    <w:rPr>
      <w:rFonts w:ascii="Arial" w:hAnsi="Arial" w:eastAsia="Arial" w:cs="Arial"/>
      <w:sz w:val="34"/>
    </w:rPr>
  </w:style>
  <w:style w:type="character" w:styleId="926" w:customStyle="1">
    <w:name w:val="Heading 3 Char"/>
    <w:uiPriority w:val="9"/>
    <w:qFormat/>
    <w:rPr>
      <w:rFonts w:ascii="Arial" w:hAnsi="Arial" w:eastAsia="Arial" w:cs="Arial"/>
      <w:sz w:val="30"/>
      <w:szCs w:val="30"/>
    </w:rPr>
  </w:style>
  <w:style w:type="character" w:styleId="927" w:customStyle="1">
    <w:name w:val="Heading 4 Char"/>
    <w:uiPriority w:val="9"/>
    <w:qFormat/>
    <w:rPr>
      <w:rFonts w:ascii="Arial" w:hAnsi="Arial" w:eastAsia="Arial" w:cs="Arial"/>
      <w:b/>
      <w:bCs/>
      <w:sz w:val="26"/>
      <w:szCs w:val="26"/>
    </w:rPr>
  </w:style>
  <w:style w:type="character" w:styleId="928" w:customStyle="1">
    <w:name w:val="Heading 5 Char"/>
    <w:uiPriority w:val="9"/>
    <w:qFormat/>
    <w:rPr>
      <w:rFonts w:ascii="Arial" w:hAnsi="Arial" w:eastAsia="Arial" w:cs="Arial"/>
      <w:b/>
      <w:bCs/>
      <w:sz w:val="24"/>
      <w:szCs w:val="24"/>
    </w:rPr>
  </w:style>
  <w:style w:type="character" w:styleId="929" w:customStyle="1">
    <w:name w:val="Heading 6 Char"/>
    <w:uiPriority w:val="9"/>
    <w:qFormat/>
    <w:rPr>
      <w:rFonts w:ascii="Arial" w:hAnsi="Arial" w:eastAsia="Arial" w:cs="Arial"/>
      <w:b/>
      <w:bCs/>
      <w:sz w:val="22"/>
      <w:szCs w:val="22"/>
    </w:rPr>
  </w:style>
  <w:style w:type="character" w:styleId="930" w:customStyle="1">
    <w:name w:val="Heading 7 Char"/>
    <w:uiPriority w:val="9"/>
    <w:qFormat/>
    <w:rPr>
      <w:rFonts w:ascii="Arial" w:hAnsi="Arial" w:eastAsia="Arial" w:cs="Arial"/>
      <w:b/>
      <w:bCs/>
      <w:i/>
      <w:iCs/>
      <w:sz w:val="22"/>
      <w:szCs w:val="22"/>
    </w:rPr>
  </w:style>
  <w:style w:type="character" w:styleId="931" w:customStyle="1">
    <w:name w:val="Heading 8 Char"/>
    <w:uiPriority w:val="9"/>
    <w:qFormat/>
    <w:rPr>
      <w:rFonts w:ascii="Arial" w:hAnsi="Arial" w:eastAsia="Arial" w:cs="Arial"/>
      <w:i/>
      <w:iCs/>
      <w:sz w:val="22"/>
      <w:szCs w:val="22"/>
    </w:rPr>
  </w:style>
  <w:style w:type="character" w:styleId="932" w:customStyle="1">
    <w:name w:val="Heading 9 Char"/>
    <w:uiPriority w:val="9"/>
    <w:qFormat/>
    <w:rPr>
      <w:rFonts w:ascii="Arial" w:hAnsi="Arial" w:eastAsia="Arial" w:cs="Arial"/>
      <w:i/>
      <w:iCs/>
      <w:sz w:val="21"/>
      <w:szCs w:val="21"/>
    </w:rPr>
  </w:style>
  <w:style w:type="character" w:styleId="933" w:customStyle="1">
    <w:name w:val="Title Char"/>
    <w:uiPriority w:val="10"/>
    <w:qFormat/>
    <w:rPr>
      <w:sz w:val="48"/>
      <w:szCs w:val="48"/>
    </w:rPr>
  </w:style>
  <w:style w:type="character" w:styleId="934" w:customStyle="1">
    <w:name w:val="Subtitle Char"/>
    <w:uiPriority w:val="11"/>
    <w:qFormat/>
    <w:rPr>
      <w:sz w:val="24"/>
      <w:szCs w:val="24"/>
    </w:rPr>
  </w:style>
  <w:style w:type="character" w:styleId="935" w:customStyle="1">
    <w:name w:val="Quote Char"/>
    <w:uiPriority w:val="29"/>
    <w:qFormat/>
    <w:rPr>
      <w:i/>
    </w:rPr>
  </w:style>
  <w:style w:type="character" w:styleId="936" w:customStyle="1">
    <w:name w:val="Intense Quote Char"/>
    <w:uiPriority w:val="30"/>
    <w:qFormat/>
    <w:rPr>
      <w:i/>
    </w:rPr>
  </w:style>
  <w:style w:type="character" w:styleId="937" w:customStyle="1">
    <w:name w:val="Caption Char"/>
    <w:uiPriority w:val="99"/>
    <w:qFormat/>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name w:val="List Paragraph"/>
    <w:basedOn w:val="780"/>
    <w:uiPriority w:val="0"/>
    <w:qFormat/>
    <w:pPr>
      <w:contextualSpacing/>
      <w:ind w:left="720"/>
    </w:pPr>
  </w:style>
  <w:style w:type="paragraph" w:styleId="941">
    <w:name w:val="No Spacing"/>
    <w:uiPriority w:val="99"/>
    <w:qFormat/>
    <w:rPr>
      <w:rFonts w:hint="default" w:ascii="Times New Roman" w:hAnsi="Times New Roman" w:eastAsia="宋体" w:cs="Times New Roman"/>
      <w:lang w:val="en-US" w:eastAsia="zh-CN" w:bidi="ar-SA"/>
    </w:rPr>
  </w:style>
  <w:style w:type="paragraph" w:styleId="942">
    <w:name w:val="Quote"/>
    <w:basedOn w:val="780"/>
    <w:next w:val="780"/>
    <w:link w:val="943"/>
    <w:uiPriority w:val="29"/>
    <w:qFormat/>
    <w:pPr>
      <w:ind w:left="720" w:right="720"/>
    </w:pPr>
    <w:rPr>
      <w:i/>
    </w:rPr>
  </w:style>
  <w:style w:type="character" w:styleId="943" w:customStyle="1">
    <w:name w:val="引用 字符"/>
    <w:link w:val="942"/>
    <w:uiPriority w:val="29"/>
    <w:qFormat/>
    <w:rPr>
      <w:i/>
    </w:rPr>
  </w:style>
  <w:style w:type="paragraph" w:styleId="944">
    <w:name w:val="Intense Quote"/>
    <w:basedOn w:val="780"/>
    <w:next w:val="780"/>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link w:val="944"/>
    <w:uiPriority w:val="30"/>
    <w:qFormat/>
    <w:rPr>
      <w:i/>
    </w:rPr>
  </w:style>
  <w:style w:type="character" w:styleId="946" w:customStyle="1">
    <w:name w:val="Header Char"/>
    <w:uiPriority w:val="99"/>
    <w:qFormat/>
  </w:style>
  <w:style w:type="character" w:styleId="947" w:customStyle="1">
    <w:name w:val="Footer Char"/>
    <w:uiPriority w:val="99"/>
    <w:qFormat/>
  </w:style>
  <w:style w:type="table" w:styleId="948" w:customStyle="1">
    <w:name w:val="Table Grid Light"/>
    <w:basedOn w:val="79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49" w:customStyle="1">
    <w:name w:val="Grid Table 1 Light - Accent 1"/>
    <w:basedOn w:val="79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Grid Table 1 Light - Accent 2"/>
    <w:basedOn w:val="79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3"/>
    <w:basedOn w:val="79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1 Light - Accent 4"/>
    <w:basedOn w:val="79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1 Light - Accent 5"/>
    <w:basedOn w:val="79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4" w:customStyle="1">
    <w:name w:val="Grid Table 1 Light - Accent 6"/>
    <w:basedOn w:val="79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2 - Accent 1"/>
    <w:basedOn w:val="791"/>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2 - Accent 2"/>
    <w:basedOn w:val="791"/>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2 - Accent 3"/>
    <w:basedOn w:val="791"/>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2 - Accent 4"/>
    <w:basedOn w:val="791"/>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2 - Accent 5"/>
    <w:basedOn w:val="791"/>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2 - Accent 6"/>
    <w:basedOn w:val="791"/>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1"/>
    <w:basedOn w:val="791"/>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2"/>
    <w:basedOn w:val="791"/>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3 - Accent 3"/>
    <w:basedOn w:val="791"/>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 Accent 4"/>
    <w:basedOn w:val="791"/>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3 - Accent 5"/>
    <w:basedOn w:val="791"/>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6"/>
    <w:basedOn w:val="791"/>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1"/>
    <w:basedOn w:val="79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华文中宋" w:hAnsi="华文中宋"/>
        <w:color w:val="404040"/>
        <w:sz w:val="22"/>
      </w:rPr>
      <w:tcPr>
        <w:shd w:val="clear" w:color="deebf6" w:fill="deebf6"/>
      </w:tcPr>
    </w:tblStylePr>
    <w:tblStylePr w:type="band1Vert">
      <w:rPr>
        <w:rFonts w:ascii="华文中宋" w:hAnsi="华文中宋"/>
        <w:color w:val="404040"/>
        <w:sz w:val="22"/>
      </w:rPr>
      <w:tcPr>
        <w:shd w:val="clear" w:color="deebf6" w:fill="deebf6"/>
      </w:tcPr>
    </w:tblStylePr>
    <w:tblStylePr w:type="firstCol">
      <w:rPr>
        <w:b/>
        <w:color w:val="404040"/>
      </w:rPr>
    </w:tblStylePr>
    <w:tblStylePr w:type="firstRow">
      <w:rPr>
        <w:rFonts w:ascii="华文中宋" w:hAnsi="华文中宋"/>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2"/>
    <w:basedOn w:val="79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rFonts w:ascii="华文中宋" w:hAnsi="华文中宋"/>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3"/>
    <w:basedOn w:val="79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rFonts w:ascii="华文中宋" w:hAnsi="华文中宋"/>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4 - Accent 4"/>
    <w:basedOn w:val="79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rFonts w:ascii="华文中宋" w:hAnsi="华文中宋"/>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4 - Accent 5"/>
    <w:basedOn w:val="79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rFonts w:ascii="华文中宋" w:hAnsi="华文中宋"/>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6"/>
    <w:basedOn w:val="79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rFonts w:ascii="华文中宋" w:hAnsi="华文中宋"/>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Accent 1"/>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华文中宋" w:hAnsi="华文中宋"/>
        <w:b/>
        <w:color w:val="ffffff"/>
        <w:sz w:val="22"/>
      </w:rPr>
      <w:tcPr>
        <w:shd w:val="clear" w:color="5b9bd5" w:fill="5b9bd5"/>
      </w:tcPr>
    </w:tblStylePr>
    <w:tblStylePr w:type="firstRow">
      <w:rPr>
        <w:rFonts w:ascii="华文中宋" w:hAnsi="华文中宋"/>
        <w:b/>
        <w:color w:val="ffffff"/>
        <w:sz w:val="22"/>
      </w:rPr>
      <w:tcPr>
        <w:shd w:val="clear" w:color="5b9bd5" w:fill="5b9bd5"/>
      </w:tcPr>
    </w:tblStylePr>
    <w:tblStylePr w:type="lastCol">
      <w:rPr>
        <w:rFonts w:ascii="华文中宋" w:hAnsi="华文中宋"/>
        <w:b/>
        <w:color w:val="ffffff"/>
        <w:sz w:val="22"/>
      </w:rPr>
      <w:tcPr>
        <w:shd w:val="clear" w:color="5b9bd5" w:fill="5b9bd5"/>
      </w:tcPr>
    </w:tblStylePr>
    <w:tblStylePr w:type="lastRow">
      <w:rPr>
        <w:rFonts w:ascii="华文中宋" w:hAnsi="华文中宋"/>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 Accent 2"/>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华文中宋" w:hAnsi="华文中宋"/>
        <w:b/>
        <w:color w:val="ffffff"/>
        <w:sz w:val="22"/>
      </w:rPr>
      <w:tcPr>
        <w:shd w:val="clear" w:color="ed7d31" w:fill="ed7d31"/>
      </w:tcPr>
    </w:tblStylePr>
    <w:tblStylePr w:type="firstRow">
      <w:rPr>
        <w:rFonts w:ascii="华文中宋" w:hAnsi="华文中宋"/>
        <w:b/>
        <w:color w:val="ffffff"/>
        <w:sz w:val="22"/>
      </w:rPr>
      <w:tcPr>
        <w:shd w:val="clear" w:color="ed7d31" w:fill="ed7d31"/>
      </w:tcPr>
    </w:tblStylePr>
    <w:tblStylePr w:type="lastCol">
      <w:rPr>
        <w:rFonts w:ascii="华文中宋" w:hAnsi="华文中宋"/>
        <w:b/>
        <w:color w:val="ffffff"/>
        <w:sz w:val="22"/>
      </w:rPr>
      <w:tcPr>
        <w:shd w:val="clear" w:color="ed7d31" w:fill="ed7d31"/>
      </w:tcPr>
    </w:tblStylePr>
    <w:tblStylePr w:type="lastRow">
      <w:rPr>
        <w:rFonts w:ascii="华文中宋" w:hAnsi="华文中宋"/>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3"/>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华文中宋" w:hAnsi="华文中宋"/>
        <w:b/>
        <w:color w:val="ffffff"/>
        <w:sz w:val="22"/>
      </w:rPr>
      <w:tcPr>
        <w:shd w:val="clear" w:color="a5a5a5" w:fill="a5a5a5"/>
      </w:tcPr>
    </w:tblStylePr>
    <w:tblStylePr w:type="firstRow">
      <w:rPr>
        <w:rFonts w:ascii="华文中宋" w:hAnsi="华文中宋"/>
        <w:b/>
        <w:color w:val="ffffff"/>
        <w:sz w:val="22"/>
      </w:rPr>
      <w:tcPr>
        <w:shd w:val="clear" w:color="a5a5a5" w:fill="a5a5a5"/>
      </w:tcPr>
    </w:tblStylePr>
    <w:tblStylePr w:type="lastCol">
      <w:rPr>
        <w:rFonts w:ascii="华文中宋" w:hAnsi="华文中宋"/>
        <w:b/>
        <w:color w:val="ffffff"/>
        <w:sz w:val="22"/>
      </w:rPr>
      <w:tcPr>
        <w:shd w:val="clear" w:color="a5a5a5" w:fill="a5a5a5"/>
      </w:tcPr>
    </w:tblStylePr>
    <w:tblStylePr w:type="lastRow">
      <w:rPr>
        <w:rFonts w:ascii="华文中宋" w:hAnsi="华文中宋"/>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Accent 4"/>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华文中宋" w:hAnsi="华文中宋"/>
        <w:b/>
        <w:color w:val="ffffff"/>
        <w:sz w:val="22"/>
      </w:rPr>
      <w:tcPr>
        <w:shd w:val="clear" w:color="ffc000" w:fill="ffc000"/>
      </w:tcPr>
    </w:tblStylePr>
    <w:tblStylePr w:type="firstRow">
      <w:rPr>
        <w:rFonts w:ascii="华文中宋" w:hAnsi="华文中宋"/>
        <w:b/>
        <w:color w:val="ffffff"/>
        <w:sz w:val="22"/>
      </w:rPr>
      <w:tcPr>
        <w:shd w:val="clear" w:color="ffc000" w:fill="ffc000"/>
      </w:tcPr>
    </w:tblStylePr>
    <w:tblStylePr w:type="lastCol">
      <w:rPr>
        <w:rFonts w:ascii="华文中宋" w:hAnsi="华文中宋"/>
        <w:b/>
        <w:color w:val="ffffff"/>
        <w:sz w:val="22"/>
      </w:rPr>
      <w:tcPr>
        <w:shd w:val="clear" w:color="ffc000" w:fill="ffc000"/>
      </w:tcPr>
    </w:tblStylePr>
    <w:tblStylePr w:type="lastRow">
      <w:rPr>
        <w:rFonts w:ascii="华文中宋" w:hAnsi="华文中宋"/>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5 Dark - Accent 5"/>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华文中宋" w:hAnsi="华文中宋"/>
        <w:b/>
        <w:color w:val="ffffff"/>
        <w:sz w:val="22"/>
      </w:rPr>
      <w:tcPr>
        <w:shd w:val="clear" w:color="4472c4" w:fill="4472c4"/>
      </w:tcPr>
    </w:tblStylePr>
    <w:tblStylePr w:type="firstRow">
      <w:rPr>
        <w:rFonts w:ascii="华文中宋" w:hAnsi="华文中宋"/>
        <w:b/>
        <w:color w:val="ffffff"/>
        <w:sz w:val="22"/>
      </w:rPr>
      <w:tcPr>
        <w:shd w:val="clear" w:color="4472c4" w:fill="4472c4"/>
      </w:tcPr>
    </w:tblStylePr>
    <w:tblStylePr w:type="lastCol">
      <w:rPr>
        <w:rFonts w:ascii="华文中宋" w:hAnsi="华文中宋"/>
        <w:b/>
        <w:color w:val="ffffff"/>
        <w:sz w:val="22"/>
      </w:rPr>
      <w:tcPr>
        <w:shd w:val="clear" w:color="4472c4" w:fill="4472c4"/>
      </w:tcPr>
    </w:tblStylePr>
    <w:tblStylePr w:type="lastRow">
      <w:rPr>
        <w:rFonts w:ascii="华文中宋" w:hAnsi="华文中宋"/>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5 Dark - Accent 6"/>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华文中宋" w:hAnsi="华文中宋"/>
        <w:b/>
        <w:color w:val="ffffff"/>
        <w:sz w:val="22"/>
      </w:rPr>
      <w:tcPr>
        <w:shd w:val="clear" w:color="70ad47" w:fill="70ad47"/>
      </w:tcPr>
    </w:tblStylePr>
    <w:tblStylePr w:type="firstRow">
      <w:rPr>
        <w:rFonts w:ascii="华文中宋" w:hAnsi="华文中宋"/>
        <w:b/>
        <w:color w:val="ffffff"/>
        <w:sz w:val="22"/>
      </w:rPr>
      <w:tcPr>
        <w:shd w:val="clear" w:color="70ad47" w:fill="70ad47"/>
      </w:tcPr>
    </w:tblStylePr>
    <w:tblStylePr w:type="lastCol">
      <w:rPr>
        <w:rFonts w:ascii="华文中宋" w:hAnsi="华文中宋"/>
        <w:b/>
        <w:color w:val="ffffff"/>
        <w:sz w:val="22"/>
      </w:rPr>
      <w:tcPr>
        <w:shd w:val="clear" w:color="70ad47" w:fill="70ad47"/>
      </w:tcPr>
    </w:tblStylePr>
    <w:tblStylePr w:type="lastRow">
      <w:rPr>
        <w:rFonts w:ascii="华文中宋" w:hAnsi="华文中宋"/>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6 Colorful - Accent 1"/>
    <w:basedOn w:val="791"/>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80" w:customStyle="1">
    <w:name w:val="Grid Table 6 Colorful - Accent 2"/>
    <w:basedOn w:val="79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81" w:customStyle="1">
    <w:name w:val="Grid Table 6 Colorful - Accent 3"/>
    <w:basedOn w:val="79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2" w:customStyle="1">
    <w:name w:val="Grid Table 6 Colorful - Accent 4"/>
    <w:basedOn w:val="79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3" w:customStyle="1">
    <w:name w:val="Grid Table 6 Colorful - Accent 5"/>
    <w:basedOn w:val="79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4" w:customStyle="1">
    <w:name w:val="Grid Table 6 Colorful - Accent 6"/>
    <w:basedOn w:val="79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华文中宋" w:hAnsi="华文中宋"/>
        <w:color w:val="244174"/>
        <w:sz w:val="22"/>
      </w:rPr>
      <w:tcPr>
        <w:shd w:val="clear" w:color="e1efd8" w:fill="e1efd8"/>
      </w:tcPr>
    </w:tblStylePr>
    <w:tblStylePr w:type="band1Vert">
      <w:tcPr>
        <w:shd w:val="clear" w:color="e1efd8" w:fill="e1efd8"/>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5" w:customStyle="1">
    <w:name w:val="Grid Table 7 Colorful - Accent 1"/>
    <w:basedOn w:val="791"/>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rFonts w:ascii="华文中宋" w:hAnsi="华文中宋"/>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华文中宋" w:hAnsi="华文中宋"/>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华文中宋" w:hAnsi="华文中宋"/>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2"/>
    <w:basedOn w:val="791"/>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3"/>
    <w:basedOn w:val="79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rFonts w:ascii="华文中宋" w:hAnsi="华文中宋"/>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华文中宋" w:hAnsi="华文中宋"/>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华文中宋" w:hAnsi="华文中宋"/>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7 Colorful - Accent 4"/>
    <w:basedOn w:val="791"/>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7 Colorful - Accent 5"/>
    <w:basedOn w:val="79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rFonts w:ascii="华文中宋" w:hAnsi="华文中宋"/>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华文中宋" w:hAnsi="华文中宋"/>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7 Colorful - Accent 6"/>
    <w:basedOn w:val="79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16429"/>
        <w:sz w:val="22"/>
      </w:rPr>
      <w:tcPr>
        <w:shd w:val="clear" w:color="e1efd8" w:fill="e1efd8"/>
      </w:tcPr>
    </w:tblStylePr>
    <w:tblStylePr w:type="band1Vert">
      <w:tcPr>
        <w:shd w:val="clear" w:color="e1efd8" w:fill="e1efd8"/>
      </w:tcPr>
    </w:tblStylePr>
    <w:tblStylePr w:type="band2Horz">
      <w:rPr>
        <w:rFonts w:ascii="华文中宋" w:hAnsi="华文中宋"/>
        <w:color w:val="416429"/>
        <w:sz w:val="22"/>
      </w:rPr>
    </w:tblStylePr>
    <w:tblStylePr w:type="firstCol">
      <w:rPr>
        <w:rFonts w:ascii="华文中宋" w:hAnsi="华文中宋"/>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华文中宋" w:hAnsi="华文中宋"/>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1 Light - Accent 1"/>
    <w:basedOn w:val="79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2"/>
    <w:basedOn w:val="79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3"/>
    <w:basedOn w:val="79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4"/>
    <w:basedOn w:val="79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1 Light - Accent 5"/>
    <w:basedOn w:val="79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6"/>
    <w:basedOn w:val="79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2 - Accent 1"/>
    <w:basedOn w:val="791"/>
    <w:uiPriority w:val="99"/>
    <w:qFormat/>
    <w:tblPr>
      <w:tblBorders>
        <w:top w:val="single" w:color="A2C6E7" w:sz="4" w:space="0"/>
        <w:bottom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98" w:customStyle="1">
    <w:name w:val="List Table 2 - Accent 2"/>
    <w:basedOn w:val="791"/>
    <w:uiPriority w:val="99"/>
    <w:qFormat/>
    <w:tblPr>
      <w:tblBorders>
        <w:top w:val="single" w:color="F4B58A" w:sz="4" w:space="0"/>
        <w:bottom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99" w:customStyle="1">
    <w:name w:val="List Table 2 - Accent 3"/>
    <w:basedOn w:val="791"/>
    <w:uiPriority w:val="99"/>
    <w:qFormat/>
    <w:tblPr>
      <w:tblBorders>
        <w:top w:val="single" w:color="CCCCCC" w:sz="4" w:space="0"/>
        <w:bottom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00" w:customStyle="1">
    <w:name w:val="List Table 2 - Accent 4"/>
    <w:basedOn w:val="791"/>
    <w:uiPriority w:val="99"/>
    <w:qFormat/>
    <w:tblPr>
      <w:tblBorders>
        <w:top w:val="single" w:color="FFDB6E" w:sz="4" w:space="0"/>
        <w:bottom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001" w:customStyle="1">
    <w:name w:val="List Table 2 - Accent 5"/>
    <w:basedOn w:val="791"/>
    <w:uiPriority w:val="99"/>
    <w:qFormat/>
    <w:tblPr>
      <w:tblBorders>
        <w:top w:val="single" w:color="95AFDD" w:sz="4" w:space="0"/>
        <w:bottom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2" w:customStyle="1">
    <w:name w:val="List Table 2 - Accent 6"/>
    <w:basedOn w:val="791"/>
    <w:uiPriority w:val="99"/>
    <w:qFormat/>
    <w:tblPr>
      <w:tblBorders>
        <w:top w:val="single" w:color="ADD394" w:sz="4" w:space="0"/>
        <w:bottom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3" w:customStyle="1">
    <w:name w:val="List Table 3 - Accent 1"/>
    <w:basedOn w:val="79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华文中宋" w:hAnsi="华文中宋"/>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04" w:customStyle="1">
    <w:name w:val="List Table 3 - Accent 2"/>
    <w:basedOn w:val="791"/>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华文中宋" w:hAnsi="华文中宋"/>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4b285" w:fill="f4b285"/>
      </w:tcPr>
    </w:tblStylePr>
    <w:tblStylePr w:type="lastCol">
      <w:rPr>
        <w:b/>
        <w:color w:val="404040"/>
      </w:rPr>
    </w:tblStylePr>
    <w:tblStylePr w:type="lastRow">
      <w:rPr>
        <w:b/>
        <w:color w:val="404040"/>
      </w:rPr>
    </w:tblStylePr>
  </w:style>
  <w:style w:type="table" w:styleId="1005" w:customStyle="1">
    <w:name w:val="List Table 3 - Accent 3"/>
    <w:basedOn w:val="79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华文中宋" w:hAnsi="华文中宋"/>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c9c9c9" w:fill="c9c9c9"/>
      </w:tcPr>
    </w:tblStylePr>
    <w:tblStylePr w:type="lastCol">
      <w:rPr>
        <w:b/>
        <w:color w:val="404040"/>
      </w:rPr>
    </w:tblStylePr>
    <w:tblStylePr w:type="lastRow">
      <w:rPr>
        <w:b/>
        <w:color w:val="404040"/>
      </w:rPr>
    </w:tblStylePr>
  </w:style>
  <w:style w:type="table" w:styleId="1006" w:customStyle="1">
    <w:name w:val="List Table 3 - Accent 4"/>
    <w:basedOn w:val="791"/>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华文中宋" w:hAnsi="华文中宋"/>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fd864" w:fill="ffd864"/>
      </w:tcPr>
    </w:tblStylePr>
    <w:tblStylePr w:type="lastCol">
      <w:rPr>
        <w:b/>
        <w:color w:val="404040"/>
      </w:rPr>
    </w:tblStylePr>
    <w:tblStylePr w:type="lastRow">
      <w:rPr>
        <w:b/>
        <w:color w:val="404040"/>
      </w:rPr>
    </w:tblStylePr>
  </w:style>
  <w:style w:type="table" w:styleId="1007" w:customStyle="1">
    <w:name w:val="List Table 3 - Accent 5"/>
    <w:basedOn w:val="791"/>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华文中宋" w:hAnsi="华文中宋"/>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8ea9db" w:fill="8ea9db"/>
      </w:tcPr>
    </w:tblStylePr>
    <w:tblStylePr w:type="lastCol">
      <w:rPr>
        <w:b/>
        <w:color w:val="404040"/>
      </w:rPr>
    </w:tblStylePr>
    <w:tblStylePr w:type="lastRow">
      <w:rPr>
        <w:b/>
        <w:color w:val="404040"/>
      </w:rPr>
    </w:tblStylePr>
  </w:style>
  <w:style w:type="table" w:styleId="1008" w:customStyle="1">
    <w:name w:val="List Table 3 - Accent 6"/>
    <w:basedOn w:val="79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华文中宋" w:hAnsi="华文中宋"/>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a9d08e" w:fill="a9d08e"/>
      </w:tcPr>
    </w:tblStylePr>
    <w:tblStylePr w:type="lastCol">
      <w:rPr>
        <w:b/>
        <w:color w:val="404040"/>
      </w:rPr>
    </w:tblStylePr>
    <w:tblStylePr w:type="lastRow">
      <w:rPr>
        <w:b/>
        <w:color w:val="404040"/>
      </w:rPr>
    </w:tblStylePr>
  </w:style>
  <w:style w:type="table" w:styleId="1009" w:customStyle="1">
    <w:name w:val="List Table 4 - Accent 1"/>
    <w:basedOn w:val="79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1010" w:customStyle="1">
    <w:name w:val="List Table 4 - Accent 2"/>
    <w:basedOn w:val="79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b/>
        <w:color w:val="404040"/>
      </w:rPr>
    </w:tblStylePr>
    <w:tblStylePr w:type="firstRow">
      <w:rPr>
        <w:rFonts w:ascii="华文中宋" w:hAnsi="华文中宋"/>
        <w:b/>
        <w:color w:val="ffffff"/>
        <w:sz w:val="22"/>
      </w:rPr>
      <w:tcPr>
        <w:shd w:val="clear" w:color="ed7d31" w:fill="ed7d31"/>
      </w:tcPr>
    </w:tblStylePr>
    <w:tblStylePr w:type="lastCol">
      <w:rPr>
        <w:b/>
        <w:color w:val="404040"/>
      </w:rPr>
    </w:tblStylePr>
    <w:tblStylePr w:type="lastRow">
      <w:rPr>
        <w:b/>
        <w:color w:val="404040"/>
      </w:rPr>
    </w:tblStylePr>
  </w:style>
  <w:style w:type="table" w:styleId="1011" w:customStyle="1">
    <w:name w:val="List Table 4 - Accent 3"/>
    <w:basedOn w:val="79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b/>
        <w:color w:val="404040"/>
      </w:rPr>
    </w:tblStylePr>
    <w:tblStylePr w:type="firstRow">
      <w:rPr>
        <w:rFonts w:ascii="华文中宋" w:hAnsi="华文中宋"/>
        <w:b/>
        <w:color w:val="ffffff"/>
        <w:sz w:val="22"/>
      </w:rPr>
      <w:tcPr>
        <w:shd w:val="clear" w:color="a5a5a5" w:fill="a5a5a5"/>
      </w:tcPr>
    </w:tblStylePr>
    <w:tblStylePr w:type="lastCol">
      <w:rPr>
        <w:b/>
        <w:color w:val="404040"/>
      </w:rPr>
    </w:tblStylePr>
    <w:tblStylePr w:type="lastRow">
      <w:rPr>
        <w:b/>
        <w:color w:val="404040"/>
      </w:rPr>
    </w:tblStylePr>
  </w:style>
  <w:style w:type="table" w:styleId="1012" w:customStyle="1">
    <w:name w:val="List Table 4 - Accent 4"/>
    <w:basedOn w:val="79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b/>
        <w:color w:val="404040"/>
      </w:rPr>
    </w:tblStylePr>
    <w:tblStylePr w:type="firstRow">
      <w:rPr>
        <w:rFonts w:ascii="华文中宋" w:hAnsi="华文中宋"/>
        <w:b/>
        <w:color w:val="ffffff"/>
        <w:sz w:val="22"/>
      </w:rPr>
      <w:tcPr>
        <w:shd w:val="clear" w:color="ffc000" w:fill="ffc000"/>
      </w:tcPr>
    </w:tblStylePr>
    <w:tblStylePr w:type="lastCol">
      <w:rPr>
        <w:b/>
        <w:color w:val="404040"/>
      </w:rPr>
    </w:tblStylePr>
    <w:tblStylePr w:type="lastRow">
      <w:rPr>
        <w:b/>
        <w:color w:val="404040"/>
      </w:rPr>
    </w:tblStylePr>
  </w:style>
  <w:style w:type="table" w:styleId="1013" w:customStyle="1">
    <w:name w:val="List Table 4 - Accent 5"/>
    <w:basedOn w:val="79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b/>
        <w:color w:val="404040"/>
      </w:rPr>
    </w:tblStylePr>
    <w:tblStylePr w:type="firstRow">
      <w:rPr>
        <w:rFonts w:ascii="华文中宋" w:hAnsi="华文中宋"/>
        <w:b/>
        <w:color w:val="ffffff"/>
        <w:sz w:val="22"/>
      </w:rPr>
      <w:tcPr>
        <w:shd w:val="clear" w:color="4472c4" w:fill="4472c4"/>
      </w:tcPr>
    </w:tblStylePr>
    <w:tblStylePr w:type="lastCol">
      <w:rPr>
        <w:b/>
        <w:color w:val="404040"/>
      </w:rPr>
    </w:tblStylePr>
    <w:tblStylePr w:type="lastRow">
      <w:rPr>
        <w:b/>
        <w:color w:val="404040"/>
      </w:rPr>
    </w:tblStylePr>
  </w:style>
  <w:style w:type="table" w:styleId="1014" w:customStyle="1">
    <w:name w:val="List Table 4 - Accent 6"/>
    <w:basedOn w:val="79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b/>
        <w:color w:val="404040"/>
      </w:rPr>
    </w:tblStylePr>
    <w:tblStylePr w:type="firstRow">
      <w:rPr>
        <w:rFonts w:ascii="华文中宋" w:hAnsi="华文中宋"/>
        <w:b/>
        <w:color w:val="ffffff"/>
        <w:sz w:val="22"/>
      </w:rPr>
      <w:tcPr>
        <w:shd w:val="clear" w:color="70ad47" w:fill="70ad47"/>
      </w:tcPr>
    </w:tblStylePr>
    <w:tblStylePr w:type="lastCol">
      <w:rPr>
        <w:b/>
        <w:color w:val="404040"/>
      </w:rPr>
    </w:tblStylePr>
    <w:tblStylePr w:type="lastRow">
      <w:rPr>
        <w:b/>
        <w:color w:val="404040"/>
      </w:rPr>
    </w:tblStylePr>
  </w:style>
  <w:style w:type="table" w:styleId="1015" w:customStyle="1">
    <w:name w:val="List Table 5 Dark - Accent 1"/>
    <w:basedOn w:val="79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6" w:customStyle="1">
    <w:name w:val="List Table 5 Dark - Accent 2"/>
    <w:basedOn w:val="791"/>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7" w:customStyle="1">
    <w:name w:val="List Table 5 Dark - Accent 3"/>
    <w:basedOn w:val="79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8" w:customStyle="1">
    <w:name w:val="List Table 5 Dark - Accent 4"/>
    <w:basedOn w:val="791"/>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19" w:customStyle="1">
    <w:name w:val="List Table 5 Dark - Accent 5"/>
    <w:basedOn w:val="791"/>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0" w:customStyle="1">
    <w:name w:val="List Table 5 Dark - Accent 6"/>
    <w:basedOn w:val="79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21" w:customStyle="1">
    <w:name w:val="List Table 6 Colorful - Accent 1"/>
    <w:basedOn w:val="791"/>
    <w:uiPriority w:val="99"/>
    <w:qFormat/>
    <w:tblPr>
      <w:tblBorders>
        <w:top w:val="single" w:color="5B9BD5" w:sz="4" w:space="0"/>
        <w:bottom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6 Colorful - Accent 2"/>
    <w:basedOn w:val="791"/>
    <w:uiPriority w:val="99"/>
    <w:qFormat/>
    <w:tblPr>
      <w:tblBorders>
        <w:top w:val="single" w:color="F4B285" w:sz="4" w:space="0"/>
        <w:bottom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List Table 6 Colorful - Accent 3"/>
    <w:basedOn w:val="791"/>
    <w:uiPriority w:val="99"/>
    <w:qFormat/>
    <w:tblPr>
      <w:tblBorders>
        <w:top w:val="single" w:color="C9C9C9" w:sz="4" w:space="0"/>
        <w:bottom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6 Colorful - Accent 4"/>
    <w:basedOn w:val="791"/>
    <w:uiPriority w:val="99"/>
    <w:qFormat/>
    <w:tblPr>
      <w:tblBorders>
        <w:top w:val="single" w:color="FFD864" w:sz="4" w:space="0"/>
        <w:bottom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6 Colorful - Accent 5"/>
    <w:basedOn w:val="791"/>
    <w:uiPriority w:val="99"/>
    <w:qFormat/>
    <w:tblPr>
      <w:tblBorders>
        <w:top w:val="single" w:color="8EA9DB" w:sz="4" w:space="0"/>
        <w:bottom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6 Colorful - Accent 6"/>
    <w:basedOn w:val="791"/>
    <w:uiPriority w:val="99"/>
    <w:qFormat/>
    <w:tblPr>
      <w:tblBorders>
        <w:top w:val="single" w:color="A9D08E" w:sz="4" w:space="0"/>
        <w:bottom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7 Colorful - Accent 1"/>
    <w:basedOn w:val="791"/>
    <w:uiPriority w:val="99"/>
    <w:qFormat/>
    <w:tblPr>
      <w:tblBorders>
        <w:right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rFonts w:ascii="华文中宋" w:hAnsi="华文中宋"/>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华文中宋" w:hAnsi="华文中宋"/>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华文中宋" w:hAnsi="华文中宋"/>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7 Colorful - Accent 2"/>
    <w:basedOn w:val="791"/>
    <w:uiPriority w:val="99"/>
    <w:qFormat/>
    <w:tblPr>
      <w:tblBorders>
        <w:right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3"/>
    <w:basedOn w:val="791"/>
    <w:uiPriority w:val="99"/>
    <w:qFormat/>
    <w:tblPr>
      <w:tblBorders>
        <w:right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rFonts w:ascii="华文中宋" w:hAnsi="华文中宋"/>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华文中宋" w:hAnsi="华文中宋"/>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华文中宋" w:hAnsi="华文中宋"/>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7 Colorful - Accent 4"/>
    <w:basedOn w:val="791"/>
    <w:uiPriority w:val="99"/>
    <w:qFormat/>
    <w:tblPr>
      <w:tblBorders>
        <w:right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7 Colorful - Accent 5"/>
    <w:basedOn w:val="791"/>
    <w:uiPriority w:val="99"/>
    <w:qFormat/>
    <w:tblPr>
      <w:tblBorders>
        <w:right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rFonts w:ascii="华文中宋" w:hAnsi="华文中宋"/>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华文中宋" w:hAnsi="华文中宋"/>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华文中宋" w:hAnsi="华文中宋"/>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7 Colorful - Accent 6"/>
    <w:basedOn w:val="791"/>
    <w:uiPriority w:val="99"/>
    <w:qFormat/>
    <w:tblPr>
      <w:tblBorders>
        <w:right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rFonts w:ascii="华文中宋" w:hAnsi="华文中宋"/>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华文中宋" w:hAnsi="华文中宋"/>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华文中宋" w:hAnsi="华文中宋"/>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ned - Accent"/>
    <w:basedOn w:val="791"/>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34" w:customStyle="1">
    <w:name w:val="Lined - Accent 1"/>
    <w:basedOn w:val="791"/>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35" w:customStyle="1">
    <w:name w:val="Lined - Accent 2"/>
    <w:basedOn w:val="791"/>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36" w:customStyle="1">
    <w:name w:val="Lined - Accent 3"/>
    <w:basedOn w:val="791"/>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37" w:customStyle="1">
    <w:name w:val="Lined - Accent 4"/>
    <w:basedOn w:val="791"/>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38" w:customStyle="1">
    <w:name w:val="Lined - Accent 5"/>
    <w:basedOn w:val="791"/>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39" w:customStyle="1">
    <w:name w:val="Lined - Accent 6"/>
    <w:basedOn w:val="791"/>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40" w:customStyle="1">
    <w:name w:val="Bordered &amp; Lined - Accent"/>
    <w:basedOn w:val="79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41" w:customStyle="1">
    <w:name w:val="Bordered &amp; Lined - Accent 1"/>
    <w:basedOn w:val="79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42" w:customStyle="1">
    <w:name w:val="Bordered &amp; Lined - Accent 2"/>
    <w:basedOn w:val="79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43" w:customStyle="1">
    <w:name w:val="Bordered &amp; Lined - Accent 3"/>
    <w:basedOn w:val="79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44" w:customStyle="1">
    <w:name w:val="Bordered &amp; Lined - Accent 4"/>
    <w:basedOn w:val="79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45" w:customStyle="1">
    <w:name w:val="Bordered &amp; Lined - Accent 5"/>
    <w:basedOn w:val="79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46" w:customStyle="1">
    <w:name w:val="Bordered &amp; Lined - Accent 6"/>
    <w:basedOn w:val="79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47" w:customStyle="1">
    <w:name w:val="Bordered"/>
    <w:basedOn w:val="79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华文中宋" w:hAnsi="华文中宋"/>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Bordered - Accent 1"/>
    <w:basedOn w:val="79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Bordered - Accent 2"/>
    <w:basedOn w:val="79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Bordered - Accent 3"/>
    <w:basedOn w:val="79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Bordered - Accent 4"/>
    <w:basedOn w:val="79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Bordered - Accent 5"/>
    <w:basedOn w:val="79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Bordered - Accent 6"/>
    <w:basedOn w:val="79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4" w:customStyle="1">
    <w:name w:val="TOC 标题11"/>
    <w:uiPriority w:val="39"/>
    <w:unhideWhenUsed/>
    <w:qFormat/>
    <w:rPr>
      <w:rFonts w:hint="default" w:ascii="Times New Roman" w:hAnsi="Times New Roman" w:eastAsia="宋体" w:cs="Times New Roman"/>
      <w:lang w:val="en-US" w:eastAsia="zh-CN" w:bidi="ar-SA"/>
    </w:rPr>
  </w:style>
  <w:style w:type="paragraph" w:styleId="1055" w:customStyle="1">
    <w:name w:val="Normal_0"/>
    <w:uiPriority w:val="0"/>
    <w:qFormat/>
    <w:rPr>
      <w:rFonts w:hint="default" w:ascii="黑体" w:hAnsi="黑体" w:eastAsia="黑体" w:cs="Times New Roman"/>
      <w:b/>
      <w:sz w:val="32"/>
      <w:szCs w:val="24"/>
      <w:lang w:val="en-US" w:eastAsia="zh-CN" w:bidi="ar-SA"/>
    </w:rPr>
  </w:style>
  <w:style w:type="paragraph" w:styleId="1056" w:customStyle="1">
    <w:name w:val="正文11"/>
    <w:next w:val="796"/>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0_3"/>
    <w:uiPriority w:val="0"/>
    <w:qFormat/>
    <w:rPr>
      <w:rFonts w:hint="default" w:ascii="黑体" w:hAnsi="黑体" w:eastAsia="黑体" w:cs="黑体"/>
      <w:b/>
      <w:sz w:val="32"/>
      <w:szCs w:val="24"/>
      <w:lang w:val="en-US" w:eastAsia="zh-CN" w:bidi="ar-SA"/>
    </w:rPr>
  </w:style>
  <w:style w:type="paragraph" w:styleId="1058" w:customStyle="1">
    <w:name w:val="正文首行缩进 2_0"/>
    <w:basedOn w:val="1059"/>
    <w:uiPriority w:val="0"/>
    <w:qFormat/>
    <w:pPr>
      <w:ind w:left="200" w:firstLine="200"/>
      <w:spacing w:after="120"/>
    </w:pPr>
    <w:rPr>
      <w:rFonts w:ascii="Times New Roman" w:hAnsi="Times New Roman"/>
      <w:sz w:val="24"/>
      <w:szCs w:val="24"/>
    </w:rPr>
  </w:style>
  <w:style w:type="paragraph" w:styleId="1059" w:customStyle="1">
    <w:name w:val="正文文本缩进_0"/>
    <w:basedOn w:val="1060"/>
    <w:uiPriority w:val="0"/>
    <w:qFormat/>
    <w:pPr>
      <w:ind w:firstLine="225"/>
    </w:pPr>
    <w:rPr>
      <w:rFonts w:ascii="仿宋_GB2312" w:eastAsia="仿宋_GB2312"/>
      <w:sz w:val="32"/>
    </w:rPr>
  </w:style>
  <w:style w:type="paragraph" w:styleId="1060" w:customStyle="1">
    <w:name w:val="正文_2"/>
    <w:next w:val="1059"/>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0_2"/>
    <w:next w:val="1062"/>
    <w:uiPriority w:val="0"/>
    <w:qFormat/>
    <w:rPr>
      <w:rFonts w:hint="default" w:ascii="黑体" w:hAnsi="黑体" w:eastAsia="黑体" w:cs="黑体"/>
      <w:b/>
      <w:sz w:val="32"/>
      <w:szCs w:val="24"/>
      <w:lang w:val="en-US" w:eastAsia="zh-CN" w:bidi="ar-SA"/>
    </w:rPr>
  </w:style>
  <w:style w:type="paragraph" w:styleId="1062" w:customStyle="1">
    <w:name w:val="Body Text First Indent_1"/>
    <w:basedOn w:val="795"/>
    <w:uiPriority w:val="99"/>
    <w:unhideWhenUsed/>
    <w:qFormat/>
    <w:pPr>
      <w:ind w:firstLine="420"/>
      <w:spacing w:after="120"/>
    </w:pPr>
    <w:rPr>
      <w:rFonts w:eastAsia="Times New Roman"/>
    </w:rPr>
  </w:style>
  <w:style w:type="paragraph" w:styleId="106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0_1"/>
    <w:next w:val="1065"/>
    <w:uiPriority w:val="0"/>
    <w:qFormat/>
    <w:rPr>
      <w:rFonts w:hint="default" w:ascii="黑体" w:hAnsi="黑体" w:eastAsia="黑体" w:cs="黑体"/>
      <w:b/>
      <w:sz w:val="32"/>
      <w:szCs w:val="24"/>
      <w:lang w:val="en-US" w:eastAsia="zh-CN" w:bidi="ar-SA"/>
    </w:rPr>
  </w:style>
  <w:style w:type="paragraph" w:styleId="1065" w:customStyle="1">
    <w:name w:val="Body Text First Indent_0"/>
    <w:basedOn w:val="1066"/>
    <w:uiPriority w:val="99"/>
    <w:unhideWhenUsed/>
    <w:qFormat/>
    <w:pPr>
      <w:ind w:firstLine="420"/>
      <w:spacing w:after="120"/>
    </w:pPr>
  </w:style>
  <w:style w:type="paragraph" w:styleId="1066" w:customStyle="1">
    <w:name w:val="正文3"/>
    <w:next w:val="1067"/>
    <w:uiPriority w:val="0"/>
    <w:qFormat/>
    <w:rPr>
      <w:rFonts w:hint="default" w:ascii="Times New Roman" w:hAnsi="Times New Roman" w:eastAsia="Times New Roman" w:cs="Times New Roman"/>
      <w:sz w:val="24"/>
      <w:szCs w:val="24"/>
      <w:lang w:val="en-US" w:eastAsia="zh-CN" w:bidi="ar-SA"/>
    </w:rPr>
  </w:style>
  <w:style w:type="paragraph" w:styleId="1067" w:customStyle="1">
    <w:name w:val="正文首行缩进3"/>
    <w:basedOn w:val="1056"/>
    <w:uiPriority w:val="99"/>
    <w:unhideWhenUsed/>
    <w:qFormat/>
    <w:pPr>
      <w:ind w:firstLine="420"/>
      <w:spacing w:after="120"/>
    </w:pPr>
    <w:rPr>
      <w:sz w:val="20"/>
    </w:rPr>
  </w:style>
  <w:style w:type="paragraph" w:styleId="1068" w:customStyle="1">
    <w:name w:val="Normal_1_1"/>
    <w:uiPriority w:val="0"/>
    <w:qFormat/>
    <w:rPr>
      <w:rFonts w:hint="default" w:ascii="黑体" w:hAnsi="黑体" w:eastAsia="黑体" w:cs="黑体"/>
      <w:b/>
      <w:sz w:val="32"/>
      <w:szCs w:val="24"/>
      <w:lang w:val="en-US" w:eastAsia="zh-CN" w:bidi="ar-SA"/>
    </w:rPr>
  </w:style>
  <w:style w:type="paragraph" w:styleId="106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2_0"/>
    <w:uiPriority w:val="0"/>
    <w:qFormat/>
    <w:rPr>
      <w:rFonts w:hint="default" w:ascii="黑体" w:hAnsi="黑体" w:eastAsia="黑体" w:cs="黑体"/>
      <w:b/>
      <w:sz w:val="32"/>
      <w:szCs w:val="24"/>
      <w:lang w:val="en-US" w:eastAsia="zh-CN" w:bidi="ar-SA"/>
    </w:rPr>
  </w:style>
  <w:style w:type="paragraph" w:styleId="107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4_0"/>
    <w:uiPriority w:val="0"/>
    <w:qFormat/>
    <w:rPr>
      <w:rFonts w:hint="default" w:ascii="黑体" w:hAnsi="黑体" w:eastAsia="黑体" w:cs="黑体"/>
      <w:b/>
      <w:sz w:val="32"/>
      <w:szCs w:val="24"/>
      <w:lang w:val="en-US" w:eastAsia="zh-CN" w:bidi="ar-SA"/>
    </w:rPr>
  </w:style>
  <w:style w:type="paragraph" w:styleId="107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6_0"/>
    <w:uiPriority w:val="0"/>
    <w:qFormat/>
    <w:rPr>
      <w:rFonts w:hint="default" w:ascii="黑体" w:hAnsi="黑体" w:eastAsia="黑体" w:cs="黑体"/>
      <w:b/>
      <w:sz w:val="32"/>
      <w:szCs w:val="24"/>
      <w:lang w:val="en-US" w:eastAsia="zh-CN" w:bidi="ar-SA"/>
    </w:rPr>
  </w:style>
  <w:style w:type="paragraph" w:styleId="107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9" w:customStyle="1">
    <w:name w:val="Normal_7_0"/>
    <w:uiPriority w:val="0"/>
    <w:qFormat/>
    <w:rPr>
      <w:rFonts w:hint="default" w:ascii="黑体" w:hAnsi="黑体" w:eastAsia="黑体" w:cs="黑体"/>
      <w:b/>
      <w:sz w:val="32"/>
      <w:szCs w:val="24"/>
      <w:lang w:val="en-US" w:eastAsia="zh-CN" w:bidi="ar-SA"/>
    </w:rPr>
  </w:style>
  <w:style w:type="paragraph" w:styleId="108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10_0"/>
    <w:uiPriority w:val="0"/>
    <w:qFormat/>
    <w:rPr>
      <w:rFonts w:hint="default" w:ascii="黑体" w:hAnsi="黑体" w:eastAsia="黑体" w:cs="黑体"/>
      <w:b/>
      <w:sz w:val="32"/>
      <w:szCs w:val="24"/>
      <w:lang w:val="en-US" w:eastAsia="zh-CN" w:bidi="ar-SA"/>
    </w:rPr>
  </w:style>
  <w:style w:type="paragraph" w:styleId="1083" w:customStyle="1">
    <w:name w:val="正文_3"/>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首行缩进 2_1"/>
    <w:basedOn w:val="1085"/>
    <w:next w:val="1087"/>
    <w:uiPriority w:val="0"/>
    <w:qFormat/>
    <w:pPr>
      <w:ind w:left="200" w:firstLine="200"/>
      <w:spacing w:after="120"/>
    </w:pPr>
    <w:rPr>
      <w:rFonts w:ascii="Times New Roman"/>
      <w:szCs w:val="24"/>
    </w:rPr>
  </w:style>
  <w:style w:type="paragraph" w:styleId="1085" w:customStyle="1">
    <w:name w:val="正文文本缩进_1"/>
    <w:basedOn w:val="1086"/>
    <w:next w:val="1084"/>
    <w:uiPriority w:val="0"/>
    <w:qFormat/>
    <w:pPr>
      <w:ind w:firstLine="225"/>
    </w:pPr>
    <w:rPr>
      <w:rFonts w:ascii="仿宋_GB2312" w:eastAsia="仿宋_GB2312"/>
      <w:sz w:val="32"/>
    </w:rPr>
  </w:style>
  <w:style w:type="paragraph" w:styleId="1086" w:customStyle="1">
    <w:name w:val="正文_18"/>
    <w:next w:val="1085"/>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xl53_0"/>
    <w:next w:val="108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8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11_0"/>
    <w:uiPriority w:val="0"/>
    <w:qFormat/>
    <w:rPr>
      <w:rFonts w:hint="default" w:ascii="黑体" w:hAnsi="黑体" w:eastAsia="黑体" w:cs="黑体"/>
      <w:b/>
      <w:sz w:val="32"/>
      <w:szCs w:val="24"/>
      <w:lang w:val="en-US" w:eastAsia="zh-CN" w:bidi="ar-SA"/>
    </w:rPr>
  </w:style>
  <w:style w:type="paragraph" w:styleId="109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4" w:customStyle="1">
    <w:name w:val="列出段落_2"/>
    <w:basedOn w:val="1092"/>
    <w:uiPriority w:val="34"/>
    <w:qFormat/>
    <w:pPr>
      <w:ind w:firstLine="420"/>
    </w:pPr>
  </w:style>
  <w:style w:type="paragraph" w:styleId="1095" w:customStyle="1">
    <w:name w:val="Normal_13_0"/>
    <w:uiPriority w:val="0"/>
    <w:qFormat/>
    <w:rPr>
      <w:rFonts w:hint="default" w:ascii="黑体" w:hAnsi="黑体" w:eastAsia="黑体" w:cs="黑体"/>
      <w:b/>
      <w:sz w:val="32"/>
      <w:szCs w:val="24"/>
      <w:lang w:val="en-US" w:eastAsia="zh-CN" w:bidi="ar-SA"/>
    </w:rPr>
  </w:style>
  <w:style w:type="paragraph" w:styleId="109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纯文本_0_0"/>
    <w:basedOn w:val="1096"/>
    <w:uiPriority w:val="0"/>
    <w:unhideWhenUsed/>
    <w:qFormat/>
    <w:rPr>
      <w:rFonts w:ascii="宋体" w:hAnsi="Courier New"/>
      <w:szCs w:val="21"/>
    </w:rPr>
  </w:style>
  <w:style w:type="paragraph" w:styleId="109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14_0"/>
    <w:uiPriority w:val="0"/>
    <w:qFormat/>
    <w:rPr>
      <w:rFonts w:hint="default" w:ascii="黑体" w:hAnsi="黑体" w:eastAsia="黑体" w:cs="黑体"/>
      <w:b/>
      <w:sz w:val="32"/>
      <w:szCs w:val="24"/>
      <w:lang w:val="en-US" w:eastAsia="zh-CN" w:bidi="ar-SA"/>
    </w:rPr>
  </w:style>
  <w:style w:type="paragraph" w:styleId="110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15_0"/>
    <w:uiPriority w:val="0"/>
    <w:qFormat/>
    <w:rPr>
      <w:rFonts w:hint="default" w:ascii="黑体" w:hAnsi="黑体" w:eastAsia="黑体" w:cs="黑体"/>
      <w:b/>
      <w:sz w:val="32"/>
      <w:szCs w:val="24"/>
      <w:lang w:val="en-US" w:eastAsia="zh-CN" w:bidi="ar-SA"/>
    </w:rPr>
  </w:style>
  <w:style w:type="paragraph" w:styleId="110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Normal_16_0"/>
    <w:uiPriority w:val="0"/>
    <w:qFormat/>
    <w:rPr>
      <w:rFonts w:hint="default" w:ascii="黑体" w:hAnsi="黑体" w:eastAsia="黑体" w:cs="黑体"/>
      <w:b/>
      <w:sz w:val="32"/>
      <w:szCs w:val="24"/>
      <w:lang w:val="en-US" w:eastAsia="zh-CN" w:bidi="ar-SA"/>
    </w:rPr>
  </w:style>
  <w:style w:type="paragraph" w:styleId="110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Normal_17_0"/>
    <w:uiPriority w:val="0"/>
    <w:qFormat/>
    <w:rPr>
      <w:rFonts w:hint="default" w:ascii="黑体" w:hAnsi="黑体" w:eastAsia="黑体" w:cs="黑体"/>
      <w:b/>
      <w:sz w:val="32"/>
      <w:szCs w:val="24"/>
      <w:lang w:val="en-US" w:eastAsia="zh-CN" w:bidi="ar-SA"/>
    </w:rPr>
  </w:style>
  <w:style w:type="paragraph" w:styleId="110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Normal_18_0"/>
    <w:uiPriority w:val="0"/>
    <w:qFormat/>
    <w:rPr>
      <w:rFonts w:hint="default" w:ascii="黑体" w:hAnsi="黑体" w:eastAsia="黑体" w:cs="黑体"/>
      <w:b/>
      <w:sz w:val="32"/>
      <w:szCs w:val="24"/>
      <w:lang w:val="en-US" w:eastAsia="zh-CN" w:bidi="ar-SA"/>
    </w:rPr>
  </w:style>
  <w:style w:type="paragraph" w:styleId="11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Normal_14_0_0"/>
    <w:uiPriority w:val="0"/>
    <w:qFormat/>
    <w:rPr>
      <w:rFonts w:hint="default" w:ascii="黑体" w:hAnsi="黑体" w:eastAsia="黑体" w:cs="Times New Roman"/>
      <w:b/>
      <w:sz w:val="32"/>
      <w:szCs w:val="24"/>
      <w:lang w:val="en-US" w:eastAsia="zh-CN" w:bidi="ar-SA"/>
    </w:rPr>
  </w:style>
  <w:style w:type="paragraph" w:styleId="111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 Indent_0"/>
    <w:basedOn w:val="896"/>
    <w:uiPriority w:val="0"/>
    <w:qFormat/>
    <w:pPr>
      <w:ind w:firstLine="420"/>
    </w:pPr>
    <w:rPr>
      <w:rFonts w:ascii="宋体" w:eastAsia="Times New Roman"/>
      <w:color w:val="000000"/>
      <w:sz w:val="24"/>
      <w:szCs w:val="20"/>
    </w:rPr>
  </w:style>
  <w:style w:type="paragraph" w:styleId="1119" w:customStyle="1">
    <w:name w:val="Heading 3_0"/>
    <w:basedOn w:val="896"/>
    <w:next w:val="896"/>
    <w:uiPriority w:val="0"/>
    <w:qFormat/>
    <w:pPr>
      <w:keepLines/>
      <w:keepNext/>
      <w:spacing w:before="260" w:after="260" w:line="413" w:lineRule="auto"/>
      <w:outlineLvl w:val="2"/>
    </w:pPr>
    <w:rPr>
      <w:rFonts w:ascii="Times New Roman" w:hAnsi="Times New Roman" w:eastAsia="Times New Roman"/>
      <w:szCs w:val="20"/>
    </w:rPr>
  </w:style>
  <w:style w:type="paragraph" w:styleId="112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2"/>
    <w:basedOn w:val="780"/>
    <w:uiPriority w:val="0"/>
    <w:qFormat/>
    <w:pPr>
      <w:ind w:firstLine="510"/>
      <w:spacing w:before="156" w:line="360" w:lineRule="auto"/>
    </w:pPr>
    <w:rPr>
      <w:sz w:val="24"/>
      <w:szCs w:val="20"/>
    </w:rPr>
  </w:style>
  <w:style w:type="paragraph" w:styleId="11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4" w:customStyle="1">
    <w:name w:val="Normal_19_1_0"/>
    <w:next w:val="1125"/>
    <w:uiPriority w:val="0"/>
    <w:qFormat/>
    <w:pPr>
      <w:jc w:val="both"/>
      <w:widowControl w:val="off"/>
    </w:pPr>
    <w:rPr>
      <w:rFonts w:hint="default" w:ascii="Calibri" w:hAnsi="Calibri" w:eastAsia="宋体" w:cs="Times New Roman"/>
      <w:szCs w:val="24"/>
      <w:lang w:val="en-US" w:eastAsia="zh-CN" w:bidi="ar-SA"/>
    </w:rPr>
  </w:style>
  <w:style w:type="paragraph" w:styleId="1125" w:customStyle="1">
    <w:name w:val="正文_16_0"/>
    <w:basedOn w:val="1086"/>
    <w:next w:val="1084"/>
    <w:uiPriority w:val="0"/>
    <w:qFormat/>
    <w:rPr>
      <w:rFonts w:ascii="Times New Roman" w:hAnsi="Times New Roman"/>
    </w:rPr>
  </w:style>
  <w:style w:type="paragraph" w:styleId="1126" w:customStyle="1">
    <w:name w:val="Normal_19_0"/>
    <w:basedOn w:val="793"/>
    <w:next w:val="1127"/>
    <w:uiPriority w:val="0"/>
    <w:qFormat/>
    <w:rPr>
      <w:szCs w:val="24"/>
    </w:rPr>
  </w:style>
  <w:style w:type="paragraph" w:styleId="1127" w:customStyle="1">
    <w:name w:val="Body Text First Indent_1_0"/>
    <w:basedOn w:val="1126"/>
    <w:uiPriority w:val="0"/>
    <w:qFormat/>
    <w:pPr>
      <w:ind w:firstLine="100"/>
      <w:spacing w:after="120"/>
    </w:pPr>
  </w:style>
  <w:style w:type="paragraph" w:styleId="1128" w:customStyle="1">
    <w:name w:val="Body Text_0"/>
    <w:basedOn w:val="1126"/>
    <w:uiPriority w:val="0"/>
    <w:qFormat/>
    <w:pPr>
      <w:spacing w:line="60" w:lineRule="auto"/>
    </w:pPr>
    <w:rPr>
      <w:rFonts w:ascii="仿宋_GB2312" w:eastAsia="仿宋_GB2312"/>
      <w:sz w:val="32"/>
    </w:rPr>
  </w:style>
  <w:style w:type="paragraph" w:styleId="1129" w:customStyle="1">
    <w:name w:val="Normal_19_1"/>
    <w:next w:val="896"/>
    <w:uiPriority w:val="0"/>
    <w:qFormat/>
    <w:pPr>
      <w:jc w:val="both"/>
      <w:widowControl w:val="off"/>
    </w:pPr>
    <w:rPr>
      <w:rFonts w:hint="default" w:ascii="Calibri" w:hAnsi="Calibri" w:eastAsia="宋体" w:cs="Times New Roman"/>
      <w:szCs w:val="24"/>
      <w:lang w:val="en-US" w:eastAsia="zh-CN" w:bidi="ar-SA"/>
    </w:rPr>
  </w:style>
  <w:style w:type="paragraph" w:styleId="113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2" w:customStyle="1">
    <w:name w:val="正文1_1"/>
    <w:basedOn w:val="1080"/>
    <w:uiPriority w:val="0"/>
    <w:qFormat/>
    <w:pPr>
      <w:jc w:val="both"/>
      <w:widowControl w:val="off"/>
    </w:pPr>
    <w:rPr>
      <w:sz w:val="20"/>
      <w:szCs w:val="20"/>
    </w:rPr>
  </w:style>
  <w:style w:type="paragraph" w:styleId="113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5" w:customStyle="1">
    <w:name w:val="Normal_16_1"/>
    <w:uiPriority w:val="0"/>
    <w:qFormat/>
    <w:rPr>
      <w:rFonts w:hint="default" w:ascii="黑体" w:hAnsi="黑体" w:eastAsia="黑体" w:cs="Times New Roman"/>
      <w:b/>
      <w:sz w:val="32"/>
      <w:szCs w:val="24"/>
      <w:lang w:val="en-US" w:eastAsia="zh-CN" w:bidi="ar-SA"/>
    </w:rPr>
  </w:style>
  <w:style w:type="paragraph" w:styleId="1136" w:customStyle="1">
    <w:name w:val="Normal_19_0_1"/>
    <w:uiPriority w:val="0"/>
    <w:qFormat/>
    <w:rPr>
      <w:rFonts w:hint="default" w:ascii="Tahoma" w:hAnsi="Tahoma" w:eastAsia="微软雅黑" w:cs="Times New Roman"/>
      <w:lang w:val="en-US" w:eastAsia="zh-CN" w:bidi="ar-SA"/>
    </w:rPr>
  </w:style>
  <w:style w:type="paragraph" w:styleId="113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Normal_17_0_0"/>
    <w:uiPriority w:val="0"/>
    <w:qFormat/>
    <w:rPr>
      <w:rFonts w:hint="default" w:ascii="黑体" w:hAnsi="黑体" w:eastAsia="黑体" w:cs="Times New Roman"/>
      <w:b/>
      <w:sz w:val="32"/>
      <w:szCs w:val="24"/>
      <w:lang w:val="en-US" w:eastAsia="zh-CN" w:bidi="ar-SA"/>
    </w:rPr>
  </w:style>
  <w:style w:type="paragraph" w:styleId="1140" w:customStyle="1">
    <w:name w:val="Normal_19_0_1_0"/>
    <w:uiPriority w:val="0"/>
    <w:qFormat/>
    <w:rPr>
      <w:rFonts w:hint="default" w:ascii="Tahoma" w:hAnsi="Tahoma" w:eastAsia="微软雅黑" w:cs="Times New Roman"/>
      <w:lang w:val="en-US" w:eastAsia="zh-CN" w:bidi="ar-SA"/>
    </w:rPr>
  </w:style>
  <w:style w:type="paragraph" w:styleId="1141" w:customStyle="1">
    <w:name w:val="Normal_19_3"/>
    <w:next w:val="1142"/>
    <w:uiPriority w:val="0"/>
    <w:qFormat/>
    <w:pPr>
      <w:jc w:val="both"/>
      <w:widowControl w:val="off"/>
    </w:pPr>
    <w:rPr>
      <w:rFonts w:hint="default" w:ascii="Calibri" w:hAnsi="Calibri" w:eastAsia="Times New Roman" w:cs="Times New Roman"/>
      <w:szCs w:val="24"/>
      <w:lang w:val="en-US" w:eastAsia="zh-CN" w:bidi="ar-SA"/>
    </w:rPr>
  </w:style>
  <w:style w:type="paragraph" w:styleId="114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4" w:customStyle="1">
    <w:name w:val="custom-tag-placeholder-class"/>
    <w:uiPriority w:val="0"/>
    <w:qFormat/>
  </w:style>
  <w:style w:type="paragraph" w:styleId="1145" w:customStyle="1">
    <w:name w:val="Normal_19_0_0"/>
    <w:basedOn w:val="896"/>
    <w:next w:val="1146"/>
    <w:uiPriority w:val="0"/>
    <w:qFormat/>
    <w:rPr>
      <w:rFonts w:ascii="Calibri" w:hAnsi="Calibri" w:eastAsia="Times New Roman"/>
      <w:sz w:val="24"/>
    </w:rPr>
  </w:style>
  <w:style w:type="paragraph" w:styleId="1146" w:customStyle="1">
    <w:name w:val="Body Text First Indent_1_0_0"/>
    <w:basedOn w:val="1145"/>
    <w:uiPriority w:val="0"/>
    <w:qFormat/>
    <w:pPr>
      <w:ind w:firstLine="100"/>
      <w:spacing w:after="120"/>
    </w:pPr>
  </w:style>
  <w:style w:type="paragraph" w:styleId="1147" w:customStyle="1">
    <w:name w:val="正文首行缩进1"/>
    <w:basedOn w:val="1148"/>
    <w:uiPriority w:val="0"/>
    <w:qFormat/>
    <w:pPr>
      <w:ind w:firstLine="100"/>
      <w:spacing w:after="120" w:line="240" w:lineRule="auto"/>
    </w:pPr>
    <w:rPr>
      <w:rFonts w:ascii="Times New Roman" w:hAnsi="Times New Roman" w:eastAsia="宋体"/>
      <w:sz w:val="21"/>
    </w:rPr>
  </w:style>
  <w:style w:type="paragraph" w:styleId="1148" w:customStyle="1">
    <w:name w:val="正文文本1"/>
    <w:basedOn w:val="780"/>
    <w:uiPriority w:val="0"/>
    <w:qFormat/>
    <w:pPr>
      <w:spacing w:line="60" w:lineRule="auto"/>
    </w:pPr>
    <w:rPr>
      <w:rFonts w:ascii="仿宋_GB2312" w:eastAsia="仿宋_GB2312"/>
      <w:sz w:val="32"/>
    </w:rPr>
  </w:style>
  <w:style w:type="paragraph" w:styleId="114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List Paragraph_0"/>
    <w:basedOn w:val="1060"/>
    <w:uiPriority w:val="0"/>
    <w:qFormat/>
    <w:pPr>
      <w:ind w:firstLine="420"/>
    </w:pPr>
  </w:style>
  <w:style w:type="paragraph" w:styleId="1151" w:customStyle="1">
    <w:name w:val="纯文本_1"/>
    <w:basedOn w:val="1149"/>
    <w:uiPriority w:val="0"/>
    <w:qFormat/>
    <w:rPr>
      <w:rFonts w:ascii="宋体" w:hAnsi="Times New Roman"/>
      <w:sz w:val="20"/>
      <w:szCs w:val="21"/>
    </w:rPr>
  </w:style>
  <w:style w:type="paragraph" w:styleId="1152" w:customStyle="1">
    <w:name w:val="正文_16_0_0"/>
    <w:next w:val="922"/>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正文_11_0"/>
    <w:basedOn w:val="922"/>
    <w:uiPriority w:val="0"/>
    <w:qFormat/>
    <w:rPr>
      <w:rFonts w:ascii="Calibri" w:hAnsi="Calibri"/>
      <w:szCs w:val="20"/>
    </w:rPr>
  </w:style>
  <w:style w:type="paragraph" w:styleId="1154" w:customStyle="1">
    <w:name w:val="Normal_19_0_0_0"/>
    <w:basedOn w:val="793"/>
    <w:uiPriority w:val="0"/>
    <w:qFormat/>
    <w:rPr>
      <w:rFonts w:cs="黑体"/>
      <w:szCs w:val="24"/>
    </w:rPr>
  </w:style>
  <w:style w:type="paragraph" w:styleId="1155" w:customStyle="1">
    <w:name w:val="无间隔1"/>
    <w:basedOn w:val="1066"/>
    <w:uiPriority w:val="0"/>
    <w:qFormat/>
    <w:rPr>
      <w:rFonts w:ascii="Calibri" w:hAnsi="Calibri" w:cs="Calibri"/>
    </w:rPr>
  </w:style>
  <w:style w:type="paragraph" w:styleId="1156" w:customStyle="1">
    <w:name w:val="标题 31"/>
    <w:basedOn w:val="1066"/>
    <w:next w:val="1066"/>
    <w:uiPriority w:val="0"/>
    <w:qFormat/>
    <w:pPr>
      <w:keepLines/>
      <w:keepNext/>
      <w:spacing w:before="260" w:after="260" w:line="413" w:lineRule="auto"/>
      <w:outlineLvl w:val="2"/>
    </w:pPr>
    <w:rPr>
      <w:b/>
      <w:sz w:val="32"/>
      <w:szCs w:val="20"/>
    </w:rPr>
  </w:style>
  <w:style w:type="character" w:styleId="1157" w:customStyle="1">
    <w:name w:val="标题 2 Char_0"/>
    <w:link w:val="1158"/>
    <w:uiPriority w:val="0"/>
    <w:qFormat/>
    <w:rPr>
      <w:rFonts w:ascii="Arial" w:hAnsi="Arial" w:eastAsia="黑体"/>
      <w:b/>
      <w:sz w:val="32"/>
      <w:szCs w:val="22"/>
    </w:rPr>
  </w:style>
  <w:style w:type="paragraph" w:styleId="1158" w:customStyle="1">
    <w:name w:val="标题 21"/>
    <w:basedOn w:val="794"/>
    <w:next w:val="794"/>
    <w:link w:val="1157"/>
    <w:uiPriority w:val="0"/>
    <w:unhideWhenUsed/>
    <w:qFormat/>
    <w:pPr>
      <w:keepLines/>
      <w:keepNext/>
      <w:spacing w:before="260" w:after="260" w:line="413" w:lineRule="auto"/>
      <w:outlineLvl w:val="1"/>
    </w:pPr>
    <w:rPr>
      <w:rFonts w:ascii="Arial" w:hAnsi="Arial"/>
      <w:szCs w:val="22"/>
    </w:rPr>
  </w:style>
  <w:style w:type="paragraph" w:styleId="1159" w:customStyle="1">
    <w:name w:val="Normal_19_1_0_0"/>
    <w:next w:val="1160"/>
    <w:uiPriority w:val="0"/>
    <w:qFormat/>
    <w:pPr>
      <w:jc w:val="both"/>
      <w:widowControl w:val="off"/>
    </w:pPr>
    <w:rPr>
      <w:rFonts w:hint="default" w:ascii="Calibri" w:hAnsi="Calibri" w:eastAsia="宋体" w:cs="Times New Roman"/>
      <w:sz w:val="21"/>
      <w:szCs w:val="24"/>
      <w:lang w:val="en-US" w:eastAsia="zh-CN" w:bidi="ar-SA"/>
    </w:rPr>
  </w:style>
  <w:style w:type="paragraph" w:styleId="116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1" w:customStyle="1">
    <w:name w:val="正文1_0_0"/>
    <w:basedOn w:val="794"/>
    <w:uiPriority w:val="0"/>
    <w:qFormat/>
    <w:pPr>
      <w:ind w:left="357" w:firstLine="420"/>
      <w:spacing w:line="360" w:lineRule="auto"/>
    </w:pPr>
    <w:rPr>
      <w:rFonts w:eastAsia="Times New Roman" w:cs="Arial"/>
    </w:rPr>
  </w:style>
  <w:style w:type="paragraph" w:styleId="1162"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163" w:customStyle="1">
    <w:name w:val="正文空2字"/>
    <w:basedOn w:val="1164"/>
    <w:uiPriority w:val="99"/>
    <w:qFormat/>
    <w:pPr>
      <w:ind w:firstLine="640"/>
      <w:spacing w:line="560" w:lineRule="exact"/>
      <w:widowControl w:val="off"/>
    </w:pPr>
    <w:rPr>
      <w:rFonts w:ascii="仿宋_GB2312" w:hAnsi="仿宋_GB2312" w:cs="仿宋_GB2312"/>
      <w:lang w:val="zh-TW"/>
    </w:rPr>
  </w:style>
  <w:style w:type="paragraph" w:styleId="1164" w:customStyle="1">
    <w:name w:val="左对齐正文"/>
    <w:uiPriority w:val="99"/>
    <w:qFormat/>
    <w:rPr>
      <w:rFonts w:hint="default" w:ascii="Calibri" w:hAnsi="Calibri" w:eastAsia="仿宋_GB2312" w:cs="Calibri"/>
      <w:sz w:val="32"/>
      <w:szCs w:val="32"/>
      <w:lang w:val="en-US" w:eastAsia="zh-CN" w:bidi="ar-SA"/>
    </w:rPr>
  </w:style>
  <w:style w:type="paragraph" w:styleId="1165" w:customStyle="1">
    <w:name w:val="普通(网站)1"/>
    <w:basedOn w:val="780"/>
    <w:uiPriority w:val="0"/>
    <w:qFormat/>
    <w:rPr>
      <w:sz w:val="24"/>
    </w:rPr>
  </w:style>
  <w:style w:type="character" w:styleId="1166" w:customStyle="1">
    <w:name w:val="16"/>
    <w:uiPriority w:val="0"/>
    <w:qFormat/>
    <w:rPr>
      <w:rFonts w:ascii="Times New Roman" w:hAnsi="Times New Roman"/>
      <w:sz w:val="21"/>
      <w:szCs w:val="21"/>
      <w:lang w:val="en-US" w:eastAsia="zh-CN" w:bidi="ar-SA"/>
    </w:rPr>
  </w:style>
  <w:style w:type="paragraph" w:styleId="1167" w:customStyle="1">
    <w:name w:val="正文文本_0"/>
    <w:basedOn w:val="1060"/>
    <w:next w:val="1168"/>
    <w:uiPriority w:val="0"/>
    <w:qFormat/>
    <w:pPr>
      <w:spacing w:line="60" w:lineRule="auto"/>
    </w:pPr>
    <w:rPr>
      <w:rFonts w:ascii="仿宋_GB2312" w:eastAsia="仿宋_GB2312"/>
      <w:sz w:val="32"/>
    </w:rPr>
  </w:style>
  <w:style w:type="paragraph" w:styleId="1168" w:customStyle="1">
    <w:name w:val="正文缩进_1"/>
    <w:basedOn w:val="1060"/>
    <w:next w:val="1060"/>
    <w:uiPriority w:val="0"/>
    <w:qFormat/>
    <w:pPr>
      <w:ind w:firstLine="420"/>
    </w:pPr>
    <w:rPr>
      <w:rFonts w:ascii="宋体"/>
      <w:color w:val="000000"/>
      <w:sz w:val="24"/>
      <w:szCs w:val="20"/>
    </w:rPr>
  </w:style>
  <w:style w:type="paragraph" w:styleId="1169" w:customStyle="1">
    <w:name w:val="Table Paragraph"/>
    <w:basedOn w:val="896"/>
    <w:uiPriority w:val="1"/>
    <w:qFormat/>
    <w:rPr>
      <w:rFonts w:ascii="宋体" w:hAnsi="宋体" w:cs="宋体"/>
      <w:sz w:val="22"/>
      <w:lang w:val="zh-CN" w:bidi="zh-CN"/>
    </w:rPr>
  </w:style>
  <w:style w:type="paragraph" w:styleId="1170" w:customStyle="1">
    <w:name w:val="Normal_19_2"/>
    <w:basedOn w:val="1171"/>
    <w:uiPriority w:val="0"/>
    <w:qFormat/>
    <w:rPr>
      <w:rFonts w:ascii="Times New Roman" w:hAnsi="Times New Roman"/>
      <w:szCs w:val="21"/>
    </w:rPr>
  </w:style>
  <w:style w:type="paragraph" w:styleId="117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文本2"/>
    <w:basedOn w:val="920"/>
    <w:uiPriority w:val="0"/>
    <w:qFormat/>
    <w:pPr>
      <w:spacing w:line="60" w:lineRule="auto"/>
    </w:pPr>
    <w:rPr>
      <w:rFonts w:ascii="仿宋_GB2312" w:eastAsia="仿宋_GB2312"/>
      <w:sz w:val="32"/>
      <w:szCs w:val="22"/>
    </w:rPr>
  </w:style>
  <w:style w:type="paragraph" w:styleId="1173" w:customStyle="1">
    <w:name w:val="正文1_0"/>
    <w:basedOn w:val="1149"/>
    <w:uiPriority w:val="0"/>
    <w:qFormat/>
    <w:pPr>
      <w:ind w:left="357" w:firstLine="420"/>
      <w:jc w:val="left"/>
      <w:spacing w:line="360" w:lineRule="auto"/>
      <w:widowControl/>
    </w:pPr>
    <w:rPr>
      <w:rFonts w:cs="Arial"/>
      <w:szCs w:val="20"/>
    </w:rPr>
  </w:style>
  <w:style w:type="paragraph" w:styleId="1174" w:customStyle="1">
    <w:name w:val="Normal_19_2_0"/>
    <w:basedOn w:val="1175"/>
    <w:uiPriority w:val="0"/>
    <w:qFormat/>
    <w:rPr>
      <w:rFonts w:ascii="Times New Roman" w:hAnsi="Times New Roman"/>
      <w:szCs w:val="21"/>
    </w:rPr>
  </w:style>
  <w:style w:type="paragraph" w:styleId="117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缩进1"/>
    <w:basedOn w:val="780"/>
    <w:uiPriority w:val="0"/>
    <w:qFormat/>
    <w:pPr>
      <w:ind w:firstLine="420"/>
      <w:jc w:val="left"/>
    </w:pPr>
    <w:rPr>
      <w:rFonts w:ascii="宋体"/>
      <w:sz w:val="24"/>
    </w:rPr>
  </w:style>
  <w:style w:type="paragraph" w:styleId="1177" w:customStyle="1">
    <w:name w:val="纯文本1"/>
    <w:basedOn w:val="921"/>
    <w:uiPriority w:val="0"/>
    <w:qFormat/>
    <w:rPr>
      <w:rFonts w:ascii="宋体" w:hAnsi="Courier New"/>
    </w:rPr>
  </w:style>
  <w:style w:type="paragraph" w:styleId="1178" w:customStyle="1">
    <w:name w:val="Normal_21_0"/>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Heading 1_0"/>
    <w:basedOn w:val="1178"/>
    <w:next w:val="1178"/>
    <w:uiPriority w:val="0"/>
    <w:qFormat/>
    <w:pPr>
      <w:jc w:val="center"/>
      <w:keepLines/>
      <w:keepNext/>
      <w:spacing w:before="240" w:after="120" w:line="300" w:lineRule="auto"/>
      <w:outlineLvl w:val="0"/>
    </w:pPr>
    <w:rPr>
      <w:rFonts w:ascii="宋体"/>
      <w:b/>
      <w:sz w:val="32"/>
      <w:szCs w:val="20"/>
    </w:rPr>
  </w:style>
  <w:style w:type="paragraph" w:styleId="118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1" w:customStyle="1">
    <w:name w:val="正文文本 字符"/>
    <w:uiPriority w:val="0"/>
    <w:qFormat/>
    <w:rPr>
      <w:rFonts w:ascii="楷体_GB2312" w:hAnsi="Arial" w:eastAsia="楷体_GB2312" w:cs="Times New Roman"/>
      <w:sz w:val="28"/>
      <w:szCs w:val="28"/>
    </w:rPr>
  </w:style>
  <w:style w:type="character" w:styleId="1182" w:customStyle="1">
    <w:name w:val="正文文本缩进 字符"/>
    <w:uiPriority w:val="0"/>
    <w:qFormat/>
    <w:rPr>
      <w:rFonts w:ascii="楷体_GB2312" w:hAnsi="Times New Roman" w:eastAsia="楷体_GB2312" w:cs="Times New Roman"/>
      <w:sz w:val="32"/>
      <w:szCs w:val="32"/>
    </w:rPr>
  </w:style>
  <w:style w:type="character" w:styleId="1183" w:customStyle="1">
    <w:name w:val="正文文本 字符1"/>
    <w:uiPriority w:val="0"/>
    <w:qFormat/>
    <w:rPr>
      <w:rFonts w:ascii="Calibri" w:hAnsi="Calibri"/>
      <w:sz w:val="28"/>
      <w:szCs w:val="24"/>
    </w:rPr>
  </w:style>
  <w:style w:type="character" w:styleId="1184" w:customStyle="1">
    <w:name w:val="正文文本首行缩进 字符"/>
    <w:uiPriority w:val="0"/>
    <w:qFormat/>
    <w:rPr>
      <w:rFonts w:ascii="仿宋_GB2312" w:hAnsi="Calibri" w:eastAsia="仿宋_GB2312"/>
      <w:sz w:val="30"/>
      <w:szCs w:val="30"/>
    </w:rPr>
  </w:style>
  <w:style w:type="paragraph" w:styleId="1185" w:customStyle="1">
    <w:name w:val="索引 41"/>
    <w:basedOn w:val="780"/>
    <w:next w:val="780"/>
    <w:uiPriority w:val="0"/>
    <w:semiHidden/>
    <w:qFormat/>
    <w:pPr>
      <w:ind w:left="1260"/>
    </w:pPr>
    <w:rPr>
      <w:rFonts w:eastAsia="Calibri" w:cs="宋体"/>
      <w:sz w:val="20"/>
      <w:szCs w:val="21"/>
      <w:lang w:val="zh-CN"/>
    </w:rPr>
  </w:style>
  <w:style w:type="character" w:styleId="1186" w:customStyle="1">
    <w:name w:val="font5 Char"/>
    <w:uiPriority w:val="0"/>
    <w:qFormat/>
    <w:rPr>
      <w:rFonts w:ascii="宋体" w:hAnsi="宋体" w:eastAsia="宋体"/>
      <w:sz w:val="28"/>
      <w:szCs w:val="28"/>
      <w:lang w:val="en-US" w:eastAsia="zh-CN" w:bidi="ar-SA"/>
    </w:rPr>
  </w:style>
  <w:style w:type="character" w:styleId="1187" w:customStyle="1">
    <w:name w:val="二级目录 Char"/>
    <w:link w:val="1188"/>
    <w:uiPriority w:val="0"/>
    <w:qFormat/>
    <w:rPr>
      <w:b/>
      <w:sz w:val="30"/>
      <w:szCs w:val="28"/>
    </w:rPr>
  </w:style>
  <w:style w:type="paragraph" w:styleId="1188" w:customStyle="1">
    <w:name w:val="二级目录"/>
    <w:next w:val="780"/>
    <w:link w:val="118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9" w:customStyle="1">
    <w:name w:val="列出段落 Char"/>
    <w:link w:val="1190"/>
    <w:uiPriority w:val="0"/>
    <w:qFormat/>
    <w:rPr>
      <w:rFonts w:ascii="Calibri" w:hAnsi="Calibri"/>
      <w:sz w:val="24"/>
      <w:szCs w:val="24"/>
      <w:lang w:eastAsia="en-US" w:bidi="en-US"/>
    </w:rPr>
  </w:style>
  <w:style w:type="paragraph" w:styleId="1190" w:customStyle="1">
    <w:name w:val="列出段落1"/>
    <w:basedOn w:val="780"/>
    <w:link w:val="1189"/>
    <w:uiPriority w:val="0"/>
    <w:qFormat/>
    <w:pPr>
      <w:contextualSpacing/>
      <w:ind w:left="720"/>
      <w:jc w:val="left"/>
      <w:widowControl/>
    </w:pPr>
    <w:rPr>
      <w:sz w:val="24"/>
      <w:szCs w:val="24"/>
      <w:lang w:eastAsia="en-US" w:bidi="en-US"/>
    </w:rPr>
  </w:style>
  <w:style w:type="paragraph" w:styleId="1191" w:customStyle="1">
    <w:name w:val="Body Text(ch)"/>
    <w:basedOn w:val="780"/>
    <w:uiPriority w:val="0"/>
    <w:qFormat/>
    <w:pPr>
      <w:spacing w:after="120"/>
    </w:pPr>
    <w:rPr>
      <w:rFonts w:ascii="宋体" w:hAnsi="Arial"/>
      <w:bCs/>
      <w:iCs/>
      <w:szCs w:val="24"/>
    </w:rPr>
  </w:style>
  <w:style w:type="paragraph" w:styleId="1192" w:customStyle="1">
    <w:name w:val="xl27"/>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3" w:customStyle="1">
    <w:name w:val="xl2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4" w:customStyle="1">
    <w:name w:val="Char"/>
    <w:basedOn w:val="780"/>
    <w:uiPriority w:val="0"/>
    <w:qFormat/>
    <w:pPr>
      <w:ind w:firstLine="200"/>
      <w:tabs>
        <w:tab w:val="left" w:pos="360" w:leader="none"/>
      </w:tabs>
    </w:pPr>
    <w:rPr>
      <w:rFonts w:ascii="Times New Roman" w:hAnsi="Times New Roman"/>
      <w:sz w:val="28"/>
      <w:szCs w:val="30"/>
    </w:rPr>
  </w:style>
  <w:style w:type="paragraph" w:styleId="1195" w:customStyle="1">
    <w:name w:val="Char1"/>
    <w:basedOn w:val="801"/>
    <w:uiPriority w:val="0"/>
    <w:qFormat/>
    <w:rPr>
      <w:rFonts w:ascii="Tahoma" w:hAnsi="Tahoma"/>
      <w:sz w:val="24"/>
      <w:szCs w:val="24"/>
    </w:rPr>
  </w:style>
  <w:style w:type="paragraph" w:styleId="1196" w:customStyle="1">
    <w:name w:val="table_lines"/>
    <w:basedOn w:val="780"/>
    <w:uiPriority w:val="0"/>
    <w:qFormat/>
    <w:pPr>
      <w:jc w:val="left"/>
      <w:widowControl/>
    </w:pPr>
    <w:rPr>
      <w:rFonts w:ascii="Times New Roman" w:hAnsi="Times New Roman"/>
      <w:sz w:val="20"/>
      <w:szCs w:val="20"/>
      <w:lang w:val="de-DE" w:eastAsia="de-DE"/>
    </w:rPr>
  </w:style>
  <w:style w:type="paragraph" w:styleId="119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8"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199" w:customStyle="1">
    <w:name w:val="Char Char Char Char"/>
    <w:basedOn w:val="801"/>
    <w:uiPriority w:val="0"/>
    <w:qFormat/>
    <w:pPr>
      <w:spacing w:line="360" w:lineRule="auto"/>
    </w:pPr>
    <w:rPr>
      <w:rFonts w:ascii="Tahoma" w:hAnsi="Tahoma"/>
      <w:sz w:val="24"/>
      <w:szCs w:val="24"/>
    </w:rPr>
  </w:style>
  <w:style w:type="paragraph" w:styleId="1200" w:customStyle="1">
    <w:name w:val="4"/>
    <w:basedOn w:val="780"/>
    <w:next w:val="823"/>
    <w:uiPriority w:val="0"/>
    <w:qFormat/>
    <w:pPr>
      <w:ind w:firstLine="420"/>
      <w:spacing w:line="360" w:lineRule="auto"/>
    </w:pPr>
    <w:rPr>
      <w:rFonts w:ascii="Times New Roman" w:hAnsi="Times New Roman"/>
      <w:color w:val="ff0000"/>
      <w:sz w:val="24"/>
      <w:szCs w:val="24"/>
    </w:rPr>
  </w:style>
  <w:style w:type="paragraph" w:styleId="1201"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02"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03" w:customStyle="1">
    <w:name w:val="样式1"/>
    <w:basedOn w:val="780"/>
    <w:uiPriority w:val="0"/>
    <w:qFormat/>
    <w:pPr>
      <w:numPr>
        <w:ilvl w:val="0"/>
        <w:numId w:val="2"/>
      </w:numPr>
      <w:tabs>
        <w:tab w:val="left" w:pos="709" w:leader="none"/>
      </w:tabs>
    </w:pPr>
    <w:rPr>
      <w:rFonts w:ascii="宋体" w:hAnsi="宋体"/>
      <w:szCs w:val="21"/>
    </w:rPr>
  </w:style>
  <w:style w:type="paragraph" w:styleId="1204"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05"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6"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7"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08" w:customStyle="1">
    <w:name w:val="xl24"/>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9" w:customStyle="1">
    <w:name w:val="xl29"/>
    <w:basedOn w:val="7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10"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11" w:customStyle="1">
    <w:name w:val="xl28"/>
    <w:basedOn w:val="7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12"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13"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14" w:customStyle="1">
    <w:name w:val="Char Char Char Char1"/>
    <w:basedOn w:val="801"/>
    <w:uiPriority w:val="0"/>
    <w:qFormat/>
    <w:pPr>
      <w:spacing w:line="360" w:lineRule="auto"/>
    </w:pPr>
    <w:rPr>
      <w:rFonts w:ascii="Tahoma" w:hAnsi="Tahoma"/>
      <w:sz w:val="24"/>
      <w:szCs w:val="24"/>
    </w:rPr>
  </w:style>
  <w:style w:type="paragraph" w:styleId="1215"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16"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17"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19" w:customStyle="1">
    <w:name w:val="Table Normal"/>
    <w:uiPriority w:val="0"/>
    <w:qFormat/>
    <w:tblPr>
      <w:tblCellMar>
        <w:left w:w="0" w:type="dxa"/>
        <w:top w:w="0" w:type="dxa"/>
        <w:right w:w="0" w:type="dxa"/>
        <w:bottom w:w="0" w:type="dxa"/>
      </w:tblCellMar>
    </w:tblPr>
  </w:style>
  <w:style w:type="paragraph" w:styleId="1220" w:customStyle="1">
    <w:name w:val="正文文本12"/>
    <w:basedOn w:val="780"/>
    <w:uiPriority w:val="1"/>
    <w:qFormat/>
    <w:pPr>
      <w:ind w:left="120"/>
    </w:pPr>
    <w:rPr>
      <w:rFonts w:ascii="宋体" w:hAnsi="宋体" w:cs="宋体"/>
      <w:szCs w:val="21"/>
      <w:lang w:val="zh-CN" w:bidi="zh-CN"/>
    </w:rPr>
  </w:style>
  <w:style w:type="paragraph" w:styleId="1221" w:customStyle="1">
    <w:name w:val="首行缩进"/>
    <w:basedOn w:val="780"/>
    <w:uiPriority w:val="0"/>
    <w:qFormat/>
    <w:pPr>
      <w:ind w:firstLine="480"/>
    </w:pPr>
    <w:rPr>
      <w:rFonts w:ascii="Times New Roman" w:hAnsi="Times New Roman"/>
      <w:szCs w:val="21"/>
      <w:lang w:val="zh-CN"/>
    </w:rPr>
  </w:style>
  <w:style w:type="paragraph" w:styleId="1222"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3" w:customStyle="1">
    <w:name w:val="15"/>
    <w:uiPriority w:val="0"/>
    <w:qFormat/>
    <w:rPr>
      <w:rFonts w:hint="default" w:ascii="Times New Roman" w:hAnsi="Times New Roman" w:cs="Times New Roman"/>
    </w:rPr>
  </w:style>
  <w:style w:type="paragraph" w:styleId="1224" w:customStyle="1">
    <w:name w:val="正文文本缩进 2_0"/>
    <w:basedOn w:val="1060"/>
    <w:uiPriority w:val="0"/>
    <w:qFormat/>
    <w:pPr>
      <w:ind w:firstLine="720"/>
      <w:jc w:val="left"/>
      <w:spacing w:line="540" w:lineRule="exact"/>
    </w:pPr>
    <w:rPr>
      <w:rFonts w:ascii="仿宋_GB2312" w:hAnsi="仿宋_GB2312" w:cs="宋体"/>
      <w:sz w:val="32"/>
      <w:szCs w:val="32"/>
    </w:rPr>
  </w:style>
  <w:style w:type="character" w:styleId="1225" w:customStyle="1">
    <w:name w:val="10"/>
    <w:uiPriority w:val="0"/>
    <w:qFormat/>
    <w:rPr>
      <w:rFonts w:hint="default" w:ascii="Times New Roman" w:hAnsi="Times New Roman" w:cs="Times New Roman"/>
    </w:rPr>
  </w:style>
  <w:style w:type="paragraph" w:styleId="1226" w:customStyle="1">
    <w:name w:val="正文_16_1"/>
    <w:basedOn w:val="780"/>
    <w:uiPriority w:val="0"/>
    <w:qFormat/>
    <w:rPr>
      <w:rFonts w:ascii="Times New Roman" w:hAnsi="Times New Roman"/>
      <w:szCs w:val="21"/>
    </w:rPr>
  </w:style>
  <w:style w:type="paragraph" w:styleId="1227" w:customStyle="1">
    <w:name w:val="页脚1"/>
    <w:basedOn w:val="780"/>
    <w:uiPriority w:val="0"/>
    <w:qFormat/>
    <w:pPr>
      <w:jc w:val="left"/>
      <w:tabs>
        <w:tab w:val="center" w:pos="4153" w:leader="none"/>
        <w:tab w:val="right" w:pos="8306" w:leader="none"/>
      </w:tabs>
    </w:pPr>
    <w:rPr>
      <w:sz w:val="18"/>
      <w:szCs w:val="18"/>
    </w:rPr>
  </w:style>
  <w:style w:type="character" w:styleId="1228" w:customStyle="1">
    <w:name w:val="页码1"/>
    <w:uiPriority w:val="0"/>
    <w:qFormat/>
  </w:style>
  <w:style w:type="paragraph" w:styleId="1229" w:customStyle="1">
    <w:name w:val="*正文"/>
    <w:basedOn w:val="792"/>
    <w:uiPriority w:val="0"/>
    <w:qFormat/>
    <w:pPr>
      <w:ind w:firstLine="200"/>
    </w:pPr>
    <w:rPr>
      <w:rFonts w:hAnsi="宋体"/>
      <w:szCs w:val="24"/>
    </w:rPr>
  </w:style>
  <w:style w:type="paragraph" w:styleId="1230" w:customStyle="1">
    <w:name w:val="*正文_0"/>
    <w:basedOn w:val="1231"/>
    <w:uiPriority w:val="0"/>
    <w:qFormat/>
    <w:pPr>
      <w:ind w:firstLine="200"/>
      <w:spacing w:line="360" w:lineRule="auto"/>
    </w:pPr>
    <w:rPr>
      <w:rFonts w:ascii="宋体" w:hAnsi="宋体" w:eastAsia="Arial" w:cs="Arial"/>
      <w:color w:val="000000"/>
      <w:sz w:val="24"/>
    </w:rPr>
  </w:style>
  <w:style w:type="paragraph" w:styleId="1231" w:customStyle="1">
    <w:name w:val="正文缩进_2"/>
    <w:basedOn w:val="1083"/>
    <w:uiPriority w:val="0"/>
    <w:unhideWhenUsed/>
    <w:qFormat/>
    <w:pPr>
      <w:ind w:firstLine="420"/>
      <w:jc w:val="left"/>
      <w:widowControl/>
    </w:pPr>
    <w:rPr>
      <w:rFonts w:ascii="Times New Roman" w:hAnsi="Times New Roman"/>
      <w:sz w:val="20"/>
      <w:szCs w:val="24"/>
    </w:rPr>
  </w:style>
  <w:style w:type="paragraph" w:styleId="1232" w:customStyle="1">
    <w:name w:val="*正文_0_0"/>
    <w:basedOn w:val="1083"/>
    <w:uiPriority w:val="0"/>
    <w:qFormat/>
    <w:pPr>
      <w:ind w:firstLine="200"/>
      <w:jc w:val="left"/>
      <w:spacing w:line="360" w:lineRule="auto"/>
      <w:widowControl/>
    </w:pPr>
    <w:rPr>
      <w:rFonts w:ascii="宋体" w:hAnsi="宋体" w:eastAsia="Arial" w:cs="Arial"/>
      <w:color w:val="000000"/>
      <w:sz w:val="24"/>
      <w:szCs w:val="24"/>
    </w:rPr>
  </w:style>
  <w:style w:type="paragraph" w:styleId="1233" w:customStyle="1">
    <w:name w:val="无间隔1_0_0"/>
    <w:basedOn w:val="1083"/>
    <w:uiPriority w:val="0"/>
    <w:qFormat/>
    <w:rPr>
      <w:rFonts w:ascii="Times New Roman" w:hAnsi="Times New Roman"/>
      <w:szCs w:val="21"/>
    </w:rPr>
  </w:style>
  <w:style w:type="paragraph" w:styleId="123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5" w:customStyle="1">
    <w:name w:val="标题 4_0"/>
    <w:basedOn w:val="1236"/>
    <w:next w:val="1236"/>
    <w:uiPriority w:val="9"/>
    <w:unhideWhenUsed/>
    <w:qFormat/>
    <w:pPr>
      <w:keepLines/>
      <w:keepNext/>
      <w:spacing w:before="280" w:after="290" w:line="372" w:lineRule="auto"/>
      <w:outlineLvl w:val="3"/>
    </w:pPr>
    <w:rPr>
      <w:rFonts w:ascii="Arial" w:hAnsi="Arial" w:eastAsia="黑体"/>
      <w:b/>
      <w:sz w:val="28"/>
    </w:rPr>
  </w:style>
  <w:style w:type="paragraph" w:styleId="1236" w:customStyle="1">
    <w:name w:val="正文4"/>
    <w:uiPriority w:val="0"/>
    <w:qFormat/>
    <w:pPr>
      <w:jc w:val="both"/>
      <w:widowControl w:val="off"/>
    </w:pPr>
    <w:rPr>
      <w:rFonts w:hint="default" w:ascii="Calibri" w:hAnsi="Calibri" w:eastAsia="宋体" w:cs="Times New Roman"/>
      <w:lang w:val="en-US" w:eastAsia="zh-CN" w:bidi="ar-SA"/>
    </w:rPr>
  </w:style>
  <w:style w:type="paragraph" w:styleId="123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38" w:customStyle="1">
    <w:name w:val="p17_0_0"/>
    <w:basedOn w:val="1126"/>
    <w:uiPriority w:val="0"/>
    <w:qFormat/>
    <w:pPr>
      <w:jc w:val="left"/>
      <w:spacing w:before="100" w:beforeAutospacing="1" w:after="100" w:afterAutospacing="1"/>
      <w:widowControl/>
    </w:pPr>
    <w:rPr>
      <w:rFonts w:ascii="宋体" w:hAnsi="宋体" w:eastAsia="Times New Roman" w:cs="宋体"/>
      <w:sz w:val="24"/>
    </w:rPr>
  </w:style>
  <w:style w:type="paragraph" w:styleId="1239" w:customStyle="1">
    <w:name w:val="p17_0"/>
    <w:basedOn w:val="794"/>
    <w:uiPriority w:val="0"/>
    <w:qFormat/>
    <w:pPr>
      <w:spacing w:before="100" w:beforeAutospacing="1" w:after="100" w:afterAutospacing="1"/>
    </w:pPr>
    <w:rPr>
      <w:rFonts w:ascii="宋体" w:hAnsi="宋体" w:eastAsia="Times New Roman" w:cs="宋体"/>
      <w:sz w:val="24"/>
    </w:rPr>
  </w:style>
  <w:style w:type="paragraph" w:styleId="1240" w:customStyle="1">
    <w:name w:val="普通(网站)11"/>
    <w:basedOn w:val="780"/>
    <w:uiPriority w:val="99"/>
    <w:qFormat/>
    <w:rPr>
      <w:sz w:val="24"/>
    </w:rPr>
  </w:style>
  <w:style w:type="paragraph" w:styleId="124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42" w:customStyle="1">
    <w:name w:val="Revision"/>
    <w:hidden/>
    <w:uiPriority w:val="99"/>
    <w:unhideWhenUsed/>
    <w:qFormat/>
    <w:rPr>
      <w:rFonts w:hint="default" w:ascii="Calibri" w:hAnsi="Calibri" w:eastAsia="宋体" w:cs="Times New Roman"/>
      <w:sz w:val="21"/>
      <w:szCs w:val="22"/>
      <w:lang w:val="en-US" w:eastAsia="zh-CN" w:bidi="ar-SA"/>
    </w:rPr>
  </w:style>
  <w:style w:type="numbering" w:styleId="1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李想</cp:lastModifiedBy>
  <cp:revision>44</cp:revision>
  <dcterms:created xsi:type="dcterms:W3CDTF">2023-07-23T13:07:00Z</dcterms:created>
  <dcterms:modified xsi:type="dcterms:W3CDTF">2026-05-15T02:08:07Z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1F2599D15525455A84F20A78C58EFAC8_13</vt:lpwstr>
  </property>
  <property fmtid="{D5CDD505-2E9C-101B-9397-08002B2CF9AE}" pid="4" name="KSOTemplateDocerSaveRecord">
    <vt:lpwstr>eyJoZGlkIjoiNGU2MjIzNDY3YzIxMWZkNjZjMDcyMWFhYmNkYmM5YTciLCJ1c2VySWQiOiI2NzcwMzI3NDMifQ==</vt:lpwstr>
  </property>
</Properties>
</file>